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CA" w:rsidRDefault="00E275CA" w:rsidP="00E275C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C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E275CA" w:rsidRPr="00E275CA" w:rsidRDefault="00E275CA" w:rsidP="00CD13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E275CA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2022 года про</w:t>
      </w:r>
      <w:r w:rsidR="00AC6712">
        <w:rPr>
          <w:rFonts w:ascii="Times New Roman" w:hAnsi="Times New Roman" w:cs="Times New Roman"/>
          <w:sz w:val="28"/>
          <w:szCs w:val="28"/>
        </w:rPr>
        <w:t>водится общественное обсуждение проекта</w:t>
      </w:r>
      <w:r w:rsidR="00483DA5">
        <w:rPr>
          <w:rFonts w:ascii="Times New Roman" w:hAnsi="Times New Roman" w:cs="Times New Roman"/>
          <w:sz w:val="28"/>
          <w:szCs w:val="28"/>
        </w:rPr>
        <w:t xml:space="preserve"> П</w:t>
      </w:r>
      <w:r w:rsidRPr="00E275CA">
        <w:rPr>
          <w:rFonts w:ascii="Times New Roman" w:hAnsi="Times New Roman" w:cs="Times New Roman"/>
          <w:sz w:val="28"/>
          <w:szCs w:val="28"/>
        </w:rPr>
        <w:t>рограмм</w:t>
      </w:r>
      <w:r w:rsidR="00483DA5">
        <w:rPr>
          <w:rFonts w:ascii="Times New Roman" w:hAnsi="Times New Roman" w:cs="Times New Roman"/>
          <w:sz w:val="28"/>
          <w:szCs w:val="28"/>
        </w:rPr>
        <w:t>ы</w:t>
      </w:r>
      <w:r w:rsidRPr="00E275C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AC671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013E80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r w:rsidR="00AC6712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город Октябрьский Республики Башкортостан на 2023 год.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2022 года.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почтовым отправлением:</w:t>
      </w:r>
      <w:r w:rsidR="00B0316B">
        <w:rPr>
          <w:rFonts w:ascii="Times New Roman" w:hAnsi="Times New Roman" w:cs="Times New Roman"/>
          <w:sz w:val="28"/>
          <w:szCs w:val="28"/>
        </w:rPr>
        <w:t xml:space="preserve"> 452614</w:t>
      </w:r>
      <w:r>
        <w:rPr>
          <w:rFonts w:ascii="Times New Roman" w:hAnsi="Times New Roman" w:cs="Times New Roman"/>
          <w:sz w:val="28"/>
          <w:szCs w:val="28"/>
        </w:rPr>
        <w:t>, Республика Б</w:t>
      </w:r>
      <w:r w:rsidR="008E2303">
        <w:rPr>
          <w:rFonts w:ascii="Times New Roman" w:hAnsi="Times New Roman" w:cs="Times New Roman"/>
          <w:sz w:val="28"/>
          <w:szCs w:val="28"/>
        </w:rPr>
        <w:t>ашкортостан, г. Октябрьский, ул. Чапаева, д. 23</w:t>
      </w:r>
      <w:r w:rsidRPr="00E275CA">
        <w:rPr>
          <w:rFonts w:ascii="Times New Roman" w:hAnsi="Times New Roman" w:cs="Times New Roman"/>
          <w:sz w:val="28"/>
          <w:szCs w:val="28"/>
        </w:rPr>
        <w:t>;</w:t>
      </w:r>
    </w:p>
    <w:p w:rsidR="00B0316B" w:rsidRPr="00E275CA" w:rsidRDefault="00E275CA" w:rsidP="00B03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нарочным: </w:t>
      </w:r>
      <w:r w:rsidR="00B0316B">
        <w:rPr>
          <w:rFonts w:ascii="Times New Roman" w:hAnsi="Times New Roman" w:cs="Times New Roman"/>
          <w:sz w:val="28"/>
          <w:szCs w:val="28"/>
        </w:rPr>
        <w:t xml:space="preserve">Республика Башкортостан, г. Октябрьский, ул. </w:t>
      </w:r>
      <w:r w:rsidR="008E2303">
        <w:rPr>
          <w:rFonts w:ascii="Times New Roman" w:hAnsi="Times New Roman" w:cs="Times New Roman"/>
          <w:sz w:val="28"/>
          <w:szCs w:val="28"/>
        </w:rPr>
        <w:t>Чапаева, д. 23</w:t>
      </w:r>
      <w:r w:rsidR="00B0316B" w:rsidRPr="00E275CA">
        <w:rPr>
          <w:rFonts w:ascii="Times New Roman" w:hAnsi="Times New Roman" w:cs="Times New Roman"/>
          <w:sz w:val="28"/>
          <w:szCs w:val="28"/>
        </w:rPr>
        <w:t>;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8E2303" w:rsidRPr="008E2303">
        <w:rPr>
          <w:rFonts w:ascii="Times New Roman" w:hAnsi="Times New Roman" w:cs="Times New Roman"/>
          <w:sz w:val="28"/>
          <w:szCs w:val="28"/>
        </w:rPr>
        <w:t>okt_odx@mail.ru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2022 года. </w:t>
      </w:r>
    </w:p>
    <w:p w:rsidR="00B31BB1" w:rsidRDefault="00B31BB1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32" w:rsidRDefault="000B3432" w:rsidP="00CE7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CE7BF0" w:rsidRPr="00390C89" w:rsidTr="00E97CEE">
        <w:trPr>
          <w:trHeight w:val="1532"/>
          <w:jc w:val="center"/>
        </w:trPr>
        <w:tc>
          <w:tcPr>
            <w:tcW w:w="4754" w:type="dxa"/>
          </w:tcPr>
          <w:p w:rsidR="00CE7BF0" w:rsidRPr="00390C89" w:rsidRDefault="00CE7BF0" w:rsidP="00E97CE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lastRenderedPageBreak/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CE7BF0" w:rsidRPr="00C909B1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</w:p>
          <w:p w:rsidR="00CE7BF0" w:rsidRPr="00390C89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CE7BF0" w:rsidRPr="00390C89" w:rsidRDefault="00CE7BF0" w:rsidP="00E97CEE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CE7BF0" w:rsidRPr="00390C89" w:rsidRDefault="00CE7BF0" w:rsidP="00E97CEE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3A05B474" wp14:editId="07E89B1D">
                  <wp:extent cx="716280" cy="746760"/>
                  <wp:effectExtent l="0" t="0" r="762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F0" w:rsidRPr="00390C89" w:rsidRDefault="00CE7BF0" w:rsidP="00E97CEE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20" w:type="dxa"/>
          </w:tcPr>
          <w:p w:rsidR="00CE7BF0" w:rsidRPr="00390C89" w:rsidRDefault="00CE7BF0" w:rsidP="00E97CE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CE7BF0" w:rsidRPr="00390C89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CE7BF0" w:rsidRPr="00390C89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CE7BF0" w:rsidRPr="00390C89" w:rsidRDefault="00CE7BF0" w:rsidP="00E97CEE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CE7BF0" w:rsidRPr="00390C89" w:rsidRDefault="00CE7BF0" w:rsidP="00CE7BF0">
      <w:pPr>
        <w:jc w:val="center"/>
        <w:rPr>
          <w:rFonts w:ascii="NewtonITT" w:hAnsi="NewtonITT"/>
          <w:sz w:val="16"/>
        </w:rPr>
      </w:pPr>
    </w:p>
    <w:p w:rsidR="00CE7BF0" w:rsidRPr="00390C89" w:rsidRDefault="00CE7BF0" w:rsidP="00CE7BF0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CE7BF0" w:rsidRPr="00390C89" w:rsidRDefault="00CE7BF0" w:rsidP="00CE7BF0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CE7BF0" w:rsidRDefault="00CE7BF0" w:rsidP="00CE7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NewtonITT" w:hAnsi="NewtonITT"/>
          <w:b/>
          <w:sz w:val="24"/>
        </w:rPr>
        <w:t>«____» _________________2022 й.    № _______    «____» _________________2022 г.</w:t>
      </w:r>
    </w:p>
    <w:p w:rsidR="000B3432" w:rsidRDefault="000B3432" w:rsidP="00F1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F0" w:rsidRPr="00CE7BF0" w:rsidRDefault="00CE7BF0" w:rsidP="00CE7BF0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BF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E7BF0" w:rsidRDefault="00CE7BF0" w:rsidP="00F1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Pr="00F158D5" w:rsidRDefault="00AC6712" w:rsidP="00F1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городского округа город Октябрьский Республики Башкортостан</w:t>
      </w:r>
    </w:p>
    <w:p w:rsidR="00F158D5" w:rsidRPr="00F158D5" w:rsidRDefault="00F158D5" w:rsidP="00F1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D5" w:rsidRPr="00F158D5" w:rsidRDefault="00F158D5" w:rsidP="00F1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58D5" w:rsidRPr="00F158D5" w:rsidRDefault="00F158D5" w:rsidP="00F1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D5" w:rsidRDefault="007447FC" w:rsidP="00483D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D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58D5" w:rsidRPr="00F158D5">
        <w:rPr>
          <w:rFonts w:ascii="Times New Roman" w:hAnsi="Times New Roman" w:cs="Times New Roman"/>
          <w:sz w:val="28"/>
          <w:szCs w:val="28"/>
        </w:rPr>
        <w:t>Програ</w:t>
      </w:r>
      <w:r w:rsidR="00483DA5">
        <w:rPr>
          <w:rFonts w:ascii="Times New Roman" w:hAnsi="Times New Roman" w:cs="Times New Roman"/>
          <w:sz w:val="28"/>
          <w:szCs w:val="28"/>
        </w:rPr>
        <w:t>мму</w:t>
      </w:r>
      <w:r w:rsidR="00F158D5">
        <w:rPr>
          <w:rFonts w:ascii="Times New Roman" w:hAnsi="Times New Roman" w:cs="Times New Roman"/>
          <w:sz w:val="28"/>
          <w:szCs w:val="28"/>
        </w:rPr>
        <w:t xml:space="preserve"> </w:t>
      </w:r>
      <w:r w:rsidR="00F158D5" w:rsidRPr="00F158D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</w:t>
      </w:r>
      <w:r w:rsidR="00F158D5">
        <w:rPr>
          <w:rFonts w:ascii="Times New Roman" w:hAnsi="Times New Roman" w:cs="Times New Roman"/>
          <w:sz w:val="28"/>
          <w:szCs w:val="28"/>
        </w:rPr>
        <w:t xml:space="preserve">я </w:t>
      </w:r>
      <w:r w:rsidR="00483DA5" w:rsidRPr="00483DA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483DA5">
        <w:rPr>
          <w:rFonts w:ascii="Times New Roman" w:hAnsi="Times New Roman" w:cs="Times New Roman"/>
          <w:sz w:val="28"/>
          <w:szCs w:val="28"/>
        </w:rPr>
        <w:t xml:space="preserve"> </w:t>
      </w:r>
      <w:r w:rsidR="00F158D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F158D5" w:rsidRPr="00F158D5">
        <w:rPr>
          <w:rFonts w:ascii="Times New Roman" w:hAnsi="Times New Roman" w:cs="Times New Roman"/>
          <w:sz w:val="28"/>
          <w:szCs w:val="28"/>
        </w:rPr>
        <w:t>город Октябрьский Республики Башк</w:t>
      </w:r>
      <w:r w:rsidR="00483DA5">
        <w:rPr>
          <w:rFonts w:ascii="Times New Roman" w:hAnsi="Times New Roman" w:cs="Times New Roman"/>
          <w:sz w:val="28"/>
          <w:szCs w:val="28"/>
        </w:rPr>
        <w:t>ортостан согласно приложению.</w:t>
      </w:r>
    </w:p>
    <w:p w:rsidR="007447FC" w:rsidRDefault="007447FC" w:rsidP="00B759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2023 года.</w:t>
      </w:r>
    </w:p>
    <w:p w:rsidR="007447FC" w:rsidRDefault="007447FC" w:rsidP="00B759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</w:t>
      </w:r>
      <w:r w:rsidR="008A31CE"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город Октябрьский Республики Башкортостан.</w:t>
      </w:r>
    </w:p>
    <w:p w:rsidR="008A31CE" w:rsidRDefault="008A31CE" w:rsidP="00B759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Нафикова</w:t>
      </w:r>
      <w:r w:rsidRPr="008A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</w:t>
      </w:r>
    </w:p>
    <w:p w:rsidR="008A31CE" w:rsidRDefault="008A31CE" w:rsidP="00F15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31CE" w:rsidRDefault="008A31CE" w:rsidP="00F15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58D5" w:rsidRPr="00B75924" w:rsidRDefault="008A31CE" w:rsidP="00B75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B75924">
        <w:rPr>
          <w:rFonts w:ascii="Times New Roman" w:hAnsi="Times New Roman" w:cs="Times New Roman"/>
          <w:sz w:val="28"/>
          <w:szCs w:val="28"/>
        </w:rPr>
        <w:t xml:space="preserve">                    А.Н. Шмелев</w:t>
      </w:r>
    </w:p>
    <w:p w:rsidR="00FC6D84" w:rsidRDefault="00FC6D84" w:rsidP="00FC6D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:rsidR="006F49EC" w:rsidRDefault="006F49EC" w:rsidP="007205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3DA5" w:rsidRDefault="00483DA5" w:rsidP="0072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61" w:rsidRDefault="00483DA5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городского округа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Октябрьский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Республики Башкортостан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«____» __________ 2022 № ______</w:t>
      </w:r>
    </w:p>
    <w:p w:rsidR="00D17861" w:rsidRDefault="00D17861" w:rsidP="00D17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61" w:rsidRPr="00EF24FE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на автомобильном транспорте, городском наземном электрическом транспорте и дорожном хозяйстве на территории городского округа 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 на 2023 год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городского округа город Октябрьский Республики Башкортостан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городского округа город Октябрьский Республики Башкортостан, проводимых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стратегического развития, дорожного хозяйства и транспорта 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Октябрьский Республики Башкортостан, и порядок их проведения в 2023 году. 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1. Анализ текущего состояния осуществления муниципального контроля</w:t>
      </w:r>
      <w:r w:rsidR="00181351" w:rsidRPr="00181351">
        <w:rPr>
          <w:rFonts w:ascii="Times New Roman" w:hAnsi="Times New Roman" w:cs="Times New Roman"/>
          <w:sz w:val="28"/>
          <w:szCs w:val="28"/>
        </w:rPr>
        <w:t xml:space="preserve">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описание текущего развития профилактической деятельности</w:t>
      </w:r>
      <w:r w:rsidRPr="00D2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E9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стратегического развития, дорожного хозяйства и транспорта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 Муниципальный контроль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Предметом муниципально</w:t>
      </w:r>
      <w:r w:rsidR="004A0E95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E9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4A0E95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соблюдение юридическими лицами, индивидуальными предпринимателями, гражданами обязательных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4A0E95">
        <w:rPr>
          <w:rFonts w:ascii="Times New Roman" w:hAnsi="Times New Roman" w:cs="Times New Roman"/>
          <w:sz w:val="28"/>
          <w:szCs w:val="28"/>
          <w:lang w:eastAsia="ru-RU"/>
        </w:rPr>
        <w:t xml:space="preserve">об автомобильных дорогах и о дорожной деятельности и </w:t>
      </w:r>
      <w:r w:rsidR="00B64D3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4A0E95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регулярных перевозок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64D35">
        <w:rPr>
          <w:rFonts w:ascii="Times New Roman" w:hAnsi="Times New Roman" w:cs="Times New Roman"/>
          <w:sz w:val="28"/>
          <w:szCs w:val="28"/>
        </w:rPr>
        <w:t>отношении объектов</w:t>
      </w:r>
      <w:r w:rsidR="004A0E95" w:rsidRPr="00B64D35">
        <w:rPr>
          <w:rFonts w:ascii="Times New Roman" w:hAnsi="Times New Roman" w:cs="Times New Roman"/>
          <w:sz w:val="28"/>
          <w:szCs w:val="28"/>
        </w:rPr>
        <w:t xml:space="preserve"> </w:t>
      </w:r>
      <w:r w:rsidR="00B75924">
        <w:rPr>
          <w:rFonts w:ascii="Times New Roman" w:hAnsi="Times New Roman" w:cs="Times New Roman"/>
          <w:sz w:val="28"/>
          <w:szCs w:val="28"/>
        </w:rPr>
        <w:t>по использованию</w:t>
      </w:r>
      <w:r w:rsidR="00B64D35" w:rsidRPr="00B64D3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B75924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B64D35" w:rsidRPr="00B64D35">
        <w:rPr>
          <w:rFonts w:ascii="Times New Roman" w:hAnsi="Times New Roman" w:cs="Times New Roman"/>
          <w:sz w:val="28"/>
          <w:szCs w:val="28"/>
        </w:rPr>
        <w:t xml:space="preserve">и </w:t>
      </w:r>
      <w:r w:rsidR="00B75924">
        <w:rPr>
          <w:rFonts w:ascii="Times New Roman" w:hAnsi="Times New Roman" w:cs="Times New Roman"/>
          <w:sz w:val="28"/>
          <w:szCs w:val="28"/>
        </w:rPr>
        <w:t>осуществляющих регулярные перевозки</w:t>
      </w:r>
      <w:r w:rsidR="00B64D35" w:rsidRPr="00B64D35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</w:t>
      </w:r>
      <w:r w:rsidRPr="00B64D35">
        <w:rPr>
          <w:rFonts w:ascii="Times New Roman" w:hAnsi="Times New Roman" w:cs="Times New Roman"/>
          <w:sz w:val="28"/>
          <w:szCs w:val="28"/>
        </w:rPr>
        <w:t>,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нарушение которых законодательством предусмотрена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ативная ответственность (далее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требования).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проведении муниципального контроля </w:t>
      </w:r>
      <w:r w:rsidR="00B64D3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B64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юридические лица, индивидуальные предприниматели и граждане при осуществлении ими производственной и иной деятельности </w:t>
      </w:r>
      <w:r w:rsidR="00B64D35">
        <w:rPr>
          <w:rFonts w:ascii="Times New Roman" w:hAnsi="Times New Roman" w:cs="Times New Roman"/>
          <w:sz w:val="28"/>
          <w:szCs w:val="28"/>
          <w:lang w:eastAsia="ru-RU"/>
        </w:rPr>
        <w:t xml:space="preserve">по использованию полос отвода и (или) придорожных полос автомобильных дорог общего пользования местного значения, по осуществлению работ по капитальному ремонту, ремонту и содержанию автомобильных дорог общего пользования местного значения, по перевозкам по муниципальным маршрутам регулярных перевозок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(далее - подконтрольные субъекты).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D3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B64D35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от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64D3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стратегического развития, дорожного хозяйства и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 муниципального контроля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) посредством: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проверок соблюдения подконтрольными субъектами обязательных требований;</w:t>
      </w:r>
    </w:p>
    <w:p w:rsidR="00D17861" w:rsidRPr="0058234D" w:rsidRDefault="0054203F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принятия,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подконтрольными субъектами.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городского округа город Октябрьский Республики </w:t>
      </w:r>
      <w:r w:rsidR="00181351">
        <w:rPr>
          <w:rFonts w:ascii="Times New Roman" w:hAnsi="Times New Roman" w:cs="Times New Roman"/>
          <w:sz w:val="28"/>
          <w:szCs w:val="28"/>
          <w:lang w:eastAsia="ru-RU"/>
        </w:rPr>
        <w:t>Башкортостан от 30.09.2021 № 161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муниципальный контроль</w:t>
      </w:r>
      <w:r w:rsidR="00181351" w:rsidRPr="00181351">
        <w:rPr>
          <w:rFonts w:ascii="Times New Roman" w:hAnsi="Times New Roman" w:cs="Times New Roman"/>
          <w:sz w:val="28"/>
          <w:szCs w:val="28"/>
        </w:rPr>
        <w:t xml:space="preserve"> </w:t>
      </w:r>
      <w:r w:rsidR="00181351" w:rsidRPr="00D17861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 w:rsidR="00181351" w:rsidRPr="00D17861">
        <w:rPr>
          <w:rFonts w:ascii="Times New Roman" w:hAnsi="Times New Roman" w:cs="Times New Roman"/>
          <w:sz w:val="28"/>
          <w:szCs w:val="28"/>
        </w:rPr>
        <w:lastRenderedPageBreak/>
        <w:t>дорожном хозяйстве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осуществляется без проведения плановых контрольных мероприятий.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1 контрольное мероприятие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без взаимодействия с контролируемым лицом.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органом муниципального контроля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</w:t>
      </w:r>
      <w:r w:rsidR="00D61025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181351" w:rsidRPr="00181351">
        <w:rPr>
          <w:rFonts w:ascii="Times New Roman" w:hAnsi="Times New Roman" w:cs="Times New Roman"/>
          <w:sz w:val="28"/>
          <w:szCs w:val="28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городского округа город Октябрьский Республики Башкортостан 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а 2022 год,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 от 26.11.2021 № 3636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ционной сети «Интернет» (далее 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 xml:space="preserve">- официальный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BC396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обеспечено размещение информации в отношении проведения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DA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. Общее количество консультировани</w:t>
      </w:r>
      <w:r w:rsidR="006F49EC">
        <w:rPr>
          <w:rFonts w:ascii="Times New Roman" w:hAnsi="Times New Roman" w:cs="Times New Roman"/>
          <w:sz w:val="28"/>
          <w:szCs w:val="28"/>
          <w:lang w:eastAsia="ru-RU"/>
        </w:rPr>
        <w:t>й - 3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. Подко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нтрольному субъекту объявлено 1 предостережение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 Профилактическая работа также проводилась также посредством проведения совещаний с подконтрольными субъектами и заинтересованными лицами.</w:t>
      </w:r>
    </w:p>
    <w:p w:rsidR="003A4570" w:rsidRDefault="003A4570" w:rsidP="003A45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обязательных требований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выявил, что ключевыми и наиболее значимыми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рисками 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юридическими</w:t>
      </w:r>
      <w:r w:rsidRPr="00AC5287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индивидуальными предпринимателями и гражданами</w:t>
      </w:r>
      <w:r w:rsidRPr="00AC5287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ими производственной и иной деятельности </w:t>
      </w:r>
      <w:r w:rsidR="002E169A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 законодательства об автомобильных дорогах и о дорожной деятельности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объектов дорожного сервиса, размещенных в полосах отвода и (или) придорожных полосах</w:t>
      </w:r>
      <w:r w:rsidR="006129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919">
        <w:rPr>
          <w:rFonts w:ascii="Times New Roman" w:hAnsi="Times New Roman" w:cs="Times New Roman"/>
          <w:sz w:val="28"/>
          <w:szCs w:val="28"/>
          <w:lang w:eastAsia="ru-RU"/>
        </w:rPr>
        <w:t>проведении работ по капитальному ремонту, ремонту и содержанию    автомобильных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</w:t>
      </w:r>
      <w:r w:rsidR="00612919">
        <w:rPr>
          <w:rFonts w:ascii="Times New Roman" w:hAnsi="Times New Roman" w:cs="Times New Roman"/>
          <w:sz w:val="28"/>
          <w:szCs w:val="28"/>
          <w:lang w:eastAsia="ru-RU"/>
        </w:rPr>
        <w:t>г общего пользования местного значения.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2. Цели и задачи реализации Программы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Цели Программы: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2.2.1 выявление причин, факторов и условий, способствующих нарушению обязательных требований в отношении объектов </w:t>
      </w:r>
      <w:r w:rsidR="00013E80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дорожной </w:t>
      </w:r>
      <w:r w:rsidR="001C3941">
        <w:rPr>
          <w:rFonts w:ascii="Times New Roman" w:hAnsi="Times New Roman" w:cs="Times New Roman"/>
          <w:sz w:val="28"/>
          <w:szCs w:val="28"/>
          <w:lang w:eastAsia="ru-RU"/>
        </w:rPr>
        <w:t>инфраструктуры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2.2.2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2.2.3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2.2.4 повышение прозрачности осуществляемой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контрольной деятельности;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при осуществлении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на 2023 год (приложение). 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4. Показатели результативности и эффективности Программы.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4.1. Отчетные показатели Программы за 2022 год: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шении подконтрольных субъектов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100%.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Доля профилактических мероприятий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объеме контрольных мероприятий -</w:t>
      </w:r>
      <w:r w:rsidR="001C3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8234D">
        <w:rPr>
          <w:rFonts w:ascii="Times New Roman" w:hAnsi="Times New Roman" w:cs="Times New Roman"/>
          <w:sz w:val="28"/>
          <w:szCs w:val="28"/>
          <w:lang w:eastAsia="ru-RU"/>
        </w:rPr>
        <w:t>0 %.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4.2.2 повышение уровня доверия подконтрольных субъектов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органу муниципального контроля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7861" w:rsidRPr="0058234D" w:rsidRDefault="00D17861" w:rsidP="001813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</w:t>
      </w:r>
      <w:r w:rsidR="00181351">
        <w:rPr>
          <w:rFonts w:ascii="Times New Roman" w:hAnsi="Times New Roman" w:cs="Times New Roman"/>
          <w:sz w:val="28"/>
          <w:szCs w:val="28"/>
          <w:lang w:eastAsia="ru-RU"/>
        </w:rPr>
        <w:t>ри осуществлении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на 2023 год.</w:t>
      </w:r>
    </w:p>
    <w:p w:rsidR="00483DA5" w:rsidRDefault="00D17861" w:rsidP="00483D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83DA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483DA5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за 2023 год.</w:t>
      </w:r>
    </w:p>
    <w:p w:rsidR="00483DA5" w:rsidRPr="00483DA5" w:rsidRDefault="00483DA5" w:rsidP="00483D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DA5" w:rsidRDefault="00483DA5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3DA5" w:rsidRDefault="00483DA5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рисков причинения вреда (ущерба) </w:t>
      </w: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</w:p>
    <w:p w:rsid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</w:p>
    <w:p w:rsidR="00181351" w:rsidRDefault="0018135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</w:t>
      </w:r>
    </w:p>
    <w:p w:rsidR="00D17861" w:rsidRPr="00181351" w:rsidRDefault="0018135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 и дорожном хозяйстве</w:t>
      </w: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</w:p>
    <w:p w:rsidR="00D17861" w:rsidRPr="00B97B47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>город Октябрьский Республики Башкортостан на 2023 год</w:t>
      </w:r>
    </w:p>
    <w:p w:rsidR="00D17861" w:rsidRPr="00B97B47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17861" w:rsidRDefault="00D17861" w:rsidP="00D178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58234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при осуществлении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Pr="0058234D">
        <w:rPr>
          <w:rFonts w:ascii="Times New Roman" w:hAnsi="Times New Roman" w:cs="Times New Roman"/>
          <w:sz w:val="28"/>
          <w:szCs w:val="28"/>
        </w:rPr>
        <w:t>на 2023 год</w:t>
      </w:r>
    </w:p>
    <w:p w:rsidR="00483DA5" w:rsidRPr="00A71F82" w:rsidRDefault="00483DA5" w:rsidP="00483DA5">
      <w:pPr>
        <w:pStyle w:val="ConsPlusNormal"/>
        <w:jc w:val="center"/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1244"/>
        <w:gridCol w:w="4536"/>
        <w:gridCol w:w="1985"/>
        <w:gridCol w:w="1275"/>
      </w:tblGrid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4536" w:type="dxa"/>
          </w:tcPr>
          <w:p w:rsidR="00483DA5" w:rsidRPr="008F715D" w:rsidRDefault="00483DA5" w:rsidP="00E83D24">
            <w:pPr>
              <w:pStyle w:val="a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Орган муниципального контроля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официальном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городского округа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483DA5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Орган муниципального </w:t>
            </w:r>
            <w:proofErr w:type="gram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контроля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размещает</w:t>
            </w:r>
            <w:proofErr w:type="gramEnd"/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и поддерживает в актуальном состоянии на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официальном сайте городского округа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Орган муниципального контроля также вправе информировать население городского округа город Октябрьский Республики Башкортостан на собраниях и конференциях граждан об обязательных требованиях, предъявляемых к объектам контроля.</w:t>
            </w:r>
          </w:p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органа муниципального контроля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  <w:tc>
          <w:tcPr>
            <w:tcW w:w="4536" w:type="dxa"/>
          </w:tcPr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подконтрольных субъектов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должностным лицом, уполномоченным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проводится руководителем органа муниципального контроля</w:t>
            </w:r>
            <w:r w:rsidRPr="00BC3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и (или) должностным лицом, уполномоченным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. Информация о месте приема, а также об установленных для приема днях и часах размещается на официальном сайте городского округа в специальном разделе, посвященном контрольной деятельности.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письменной форме осуществляется должностным лицом,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уполномоченным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в следующих случаях: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консультирования должностное лицо, уполномоченное осуществлять муниципальный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ставшая известной должностному лицу, уполномоченному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      </w:r>
          </w:p>
          <w:p w:rsidR="00483DA5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в специальном разделе, посвященном контрольной деятельности, письменного разъяснения, подписанного руководителем органа муниципального контроля</w:t>
            </w:r>
            <w:r w:rsidRPr="00BC3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или должностным лицом, уполномоченным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Объявление предостережения</w:t>
            </w:r>
          </w:p>
        </w:tc>
        <w:tc>
          <w:tcPr>
            <w:tcW w:w="4536" w:type="dxa"/>
          </w:tcPr>
          <w:p w:rsidR="00483DA5" w:rsidRPr="00BC396B" w:rsidRDefault="00483DA5" w:rsidP="00E83D24">
            <w:pPr>
              <w:pStyle w:val="a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83DA5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Подконтрольный субъект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рок не позднее 30</w:t>
            </w:r>
            <w:r w:rsidRPr="00BC39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рабочих дней со дня получения им предостережения.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органа муниципального контроля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83DA5" w:rsidRPr="008F715D" w:rsidRDefault="00483DA5" w:rsidP="00483DA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483DA5" w:rsidRPr="00C94A1D" w:rsidRDefault="00483DA5" w:rsidP="00483D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3DA5" w:rsidRPr="004626E2" w:rsidRDefault="00483DA5" w:rsidP="00483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E2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6E2">
        <w:rPr>
          <w:rFonts w:ascii="Times New Roman" w:hAnsi="Times New Roman"/>
          <w:sz w:val="28"/>
          <w:szCs w:val="28"/>
        </w:rPr>
        <w:t xml:space="preserve">             А.Е. </w:t>
      </w:r>
      <w:proofErr w:type="spellStart"/>
      <w:r w:rsidRPr="004626E2">
        <w:rPr>
          <w:rFonts w:ascii="Times New Roman" w:hAnsi="Times New Roman"/>
          <w:sz w:val="28"/>
          <w:szCs w:val="28"/>
        </w:rPr>
        <w:t>Пальчинский</w:t>
      </w:r>
      <w:proofErr w:type="spellEnd"/>
    </w:p>
    <w:p w:rsidR="00483DA5" w:rsidRPr="004626E2" w:rsidRDefault="00483DA5" w:rsidP="00483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61" w:rsidRPr="004626E2" w:rsidRDefault="00D17861" w:rsidP="00D17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61" w:rsidRPr="004626E2" w:rsidRDefault="00D17861" w:rsidP="00D17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:rsidR="00D17861" w:rsidRDefault="00D17861" w:rsidP="00D17861">
      <w:pPr>
        <w:pStyle w:val="a5"/>
        <w:ind w:firstLine="709"/>
        <w:jc w:val="center"/>
        <w:rPr>
          <w:rFonts w:ascii="Arial" w:hAnsi="Arial" w:cs="Arial"/>
          <w:color w:val="010101"/>
          <w:sz w:val="21"/>
          <w:szCs w:val="21"/>
          <w:shd w:val="clear" w:color="auto" w:fill="FFFFFF"/>
        </w:rPr>
      </w:pPr>
    </w:p>
    <w:p w:rsidR="00D17861" w:rsidRPr="004626E2" w:rsidRDefault="00D17861" w:rsidP="0072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1" w:rsidRPr="004626E2" w:rsidRDefault="007205C1" w:rsidP="0072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1" w:rsidRPr="004626E2" w:rsidRDefault="007205C1" w:rsidP="006F2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17F" w:rsidRPr="004626E2" w:rsidRDefault="006F217F" w:rsidP="00F158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:rsidR="00F158D5" w:rsidRDefault="00F158D5" w:rsidP="00AC6712">
      <w:pPr>
        <w:pStyle w:val="a5"/>
        <w:ind w:firstLine="709"/>
        <w:jc w:val="center"/>
        <w:rPr>
          <w:rFonts w:ascii="Arial" w:hAnsi="Arial" w:cs="Arial"/>
          <w:color w:val="010101"/>
          <w:sz w:val="21"/>
          <w:szCs w:val="21"/>
          <w:shd w:val="clear" w:color="auto" w:fill="FFFFFF"/>
        </w:rPr>
      </w:pPr>
    </w:p>
    <w:sectPr w:rsidR="00F158D5" w:rsidSect="00F158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3621C1"/>
    <w:multiLevelType w:val="hybridMultilevel"/>
    <w:tmpl w:val="2BE45844"/>
    <w:lvl w:ilvl="0" w:tplc="F334C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9"/>
    <w:rsid w:val="00013E80"/>
    <w:rsid w:val="000B3432"/>
    <w:rsid w:val="00147B40"/>
    <w:rsid w:val="00181351"/>
    <w:rsid w:val="001C3941"/>
    <w:rsid w:val="0023153E"/>
    <w:rsid w:val="00287449"/>
    <w:rsid w:val="0029752A"/>
    <w:rsid w:val="002E169A"/>
    <w:rsid w:val="002E263C"/>
    <w:rsid w:val="0037268D"/>
    <w:rsid w:val="003A4570"/>
    <w:rsid w:val="003E104C"/>
    <w:rsid w:val="00483DA5"/>
    <w:rsid w:val="004A0E95"/>
    <w:rsid w:val="004D27B0"/>
    <w:rsid w:val="0054203F"/>
    <w:rsid w:val="0058234D"/>
    <w:rsid w:val="005A4503"/>
    <w:rsid w:val="00612919"/>
    <w:rsid w:val="00653FD0"/>
    <w:rsid w:val="00675CAA"/>
    <w:rsid w:val="006D7103"/>
    <w:rsid w:val="006F217F"/>
    <w:rsid w:val="006F49EC"/>
    <w:rsid w:val="007205C1"/>
    <w:rsid w:val="007447FC"/>
    <w:rsid w:val="00750FFF"/>
    <w:rsid w:val="007938A0"/>
    <w:rsid w:val="007F6795"/>
    <w:rsid w:val="008877EE"/>
    <w:rsid w:val="008A31CE"/>
    <w:rsid w:val="008E2303"/>
    <w:rsid w:val="008F715D"/>
    <w:rsid w:val="00930CFA"/>
    <w:rsid w:val="00A37051"/>
    <w:rsid w:val="00AA5A56"/>
    <w:rsid w:val="00AC5287"/>
    <w:rsid w:val="00AC6712"/>
    <w:rsid w:val="00B0316B"/>
    <w:rsid w:val="00B31BB1"/>
    <w:rsid w:val="00B64D35"/>
    <w:rsid w:val="00B75924"/>
    <w:rsid w:val="00B97B47"/>
    <w:rsid w:val="00BA6B99"/>
    <w:rsid w:val="00BC396B"/>
    <w:rsid w:val="00CD1354"/>
    <w:rsid w:val="00CE7BF0"/>
    <w:rsid w:val="00D00702"/>
    <w:rsid w:val="00D17861"/>
    <w:rsid w:val="00D25B0F"/>
    <w:rsid w:val="00D26A50"/>
    <w:rsid w:val="00D61025"/>
    <w:rsid w:val="00E02E40"/>
    <w:rsid w:val="00E24E1B"/>
    <w:rsid w:val="00E275CA"/>
    <w:rsid w:val="00E57401"/>
    <w:rsid w:val="00E97CEE"/>
    <w:rsid w:val="00EC5EDE"/>
    <w:rsid w:val="00F158D5"/>
    <w:rsid w:val="00F42EF8"/>
    <w:rsid w:val="00FB4716"/>
    <w:rsid w:val="00FC6D84"/>
    <w:rsid w:val="00FC744D"/>
    <w:rsid w:val="00FD7D2E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C968-FF5A-4CA9-925D-02CCFB2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1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2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7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5CA"/>
    <w:rPr>
      <w:color w:val="0000FF"/>
      <w:u w:val="single"/>
    </w:rPr>
  </w:style>
  <w:style w:type="paragraph" w:styleId="a5">
    <w:name w:val="No Spacing"/>
    <w:uiPriority w:val="1"/>
    <w:qFormat/>
    <w:rsid w:val="00E275CA"/>
    <w:pPr>
      <w:spacing w:after="0" w:line="240" w:lineRule="auto"/>
    </w:pPr>
  </w:style>
  <w:style w:type="paragraph" w:customStyle="1" w:styleId="ConsPlusNormal">
    <w:name w:val="ConsPlusNormal"/>
    <w:link w:val="ConsPlusNormal0"/>
    <w:rsid w:val="00AC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712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AC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58D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R1">
    <w:name w:val="FR1"/>
    <w:rsid w:val="00CE7BF0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E7BF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Валиев Саламат Фанисович</cp:lastModifiedBy>
  <cp:revision>10</cp:revision>
  <dcterms:created xsi:type="dcterms:W3CDTF">2022-11-14T07:17:00Z</dcterms:created>
  <dcterms:modified xsi:type="dcterms:W3CDTF">2022-11-15T09:14:00Z</dcterms:modified>
</cp:coreProperties>
</file>