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4A" w:rsidRPr="006F07ED" w:rsidRDefault="007E4474" w:rsidP="00ED397C">
      <w:pPr>
        <w:spacing w:after="0" w:line="240" w:lineRule="auto"/>
        <w:ind w:left="-36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итоги с</w:t>
      </w:r>
      <w:r w:rsidR="005E0CA5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оциально-экономическо</w:t>
      </w:r>
      <w:r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</w:t>
      </w:r>
      <w:r w:rsidR="005E0CA5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</w:t>
      </w:r>
      <w:r w:rsidR="005E0CA5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</w:p>
    <w:p w:rsidR="00126F4A" w:rsidRPr="006F07ED" w:rsidRDefault="005E0CA5" w:rsidP="00ED397C">
      <w:pPr>
        <w:spacing w:after="0" w:line="240" w:lineRule="auto"/>
        <w:ind w:left="-36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 Октябрьский Республики Башкортостан</w:t>
      </w:r>
    </w:p>
    <w:p w:rsidR="005E0CA5" w:rsidRPr="006F07ED" w:rsidRDefault="005E0CA5" w:rsidP="00ED397C">
      <w:pPr>
        <w:spacing w:after="0" w:line="240" w:lineRule="auto"/>
        <w:ind w:left="-36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4474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1041F5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E4474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</w:p>
    <w:p w:rsidR="00126F4A" w:rsidRPr="006F07ED" w:rsidRDefault="00126F4A" w:rsidP="00ED397C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A65" w:rsidRPr="006F07ED" w:rsidRDefault="00061B62" w:rsidP="00ED397C">
      <w:pPr>
        <w:pStyle w:val="a7"/>
        <w:spacing w:before="0" w:beforeAutospacing="0" w:after="0" w:afterAutospacing="0" w:line="360" w:lineRule="auto"/>
        <w:ind w:left="-363" w:firstLine="708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 </w:t>
      </w:r>
      <w:r w:rsidR="005E0CA5" w:rsidRPr="006F07ED">
        <w:rPr>
          <w:color w:val="000000" w:themeColor="text1"/>
          <w:sz w:val="28"/>
          <w:szCs w:val="28"/>
        </w:rPr>
        <w:t>В  201</w:t>
      </w:r>
      <w:r w:rsidR="00111C9F" w:rsidRPr="006F07ED">
        <w:rPr>
          <w:color w:val="000000" w:themeColor="text1"/>
          <w:sz w:val="28"/>
          <w:szCs w:val="28"/>
        </w:rPr>
        <w:t>6</w:t>
      </w:r>
      <w:r w:rsidR="005E0CA5" w:rsidRPr="006F07ED">
        <w:rPr>
          <w:color w:val="000000" w:themeColor="text1"/>
          <w:sz w:val="28"/>
          <w:szCs w:val="28"/>
        </w:rPr>
        <w:t xml:space="preserve"> год</w:t>
      </w:r>
      <w:r w:rsidR="007E4474" w:rsidRPr="006F07ED">
        <w:rPr>
          <w:color w:val="000000" w:themeColor="text1"/>
          <w:sz w:val="28"/>
          <w:szCs w:val="28"/>
        </w:rPr>
        <w:t xml:space="preserve">у </w:t>
      </w:r>
      <w:r w:rsidR="005E0CA5" w:rsidRPr="006F07ED">
        <w:rPr>
          <w:color w:val="000000" w:themeColor="text1"/>
          <w:sz w:val="28"/>
          <w:szCs w:val="28"/>
        </w:rPr>
        <w:t xml:space="preserve"> общая ситуация в реальном секторе экономики и социальной сфере </w:t>
      </w:r>
      <w:r w:rsidR="00126F4A" w:rsidRPr="006F07ED">
        <w:rPr>
          <w:color w:val="000000" w:themeColor="text1"/>
          <w:sz w:val="28"/>
          <w:szCs w:val="28"/>
        </w:rPr>
        <w:t xml:space="preserve">городского округа  </w:t>
      </w:r>
      <w:r w:rsidR="005E0CA5" w:rsidRPr="006F07ED">
        <w:rPr>
          <w:color w:val="000000" w:themeColor="text1"/>
          <w:sz w:val="28"/>
          <w:szCs w:val="28"/>
        </w:rPr>
        <w:t xml:space="preserve"> характеризовалась позитивными процессами. В промышленности достигнуто значительное увеличение объемов добычи </w:t>
      </w:r>
      <w:r w:rsidR="00DF5750" w:rsidRPr="006F07ED">
        <w:rPr>
          <w:color w:val="000000" w:themeColor="text1"/>
          <w:sz w:val="28"/>
          <w:szCs w:val="28"/>
        </w:rPr>
        <w:t>полезных ископаемых</w:t>
      </w:r>
      <w:r w:rsidR="005E0CA5" w:rsidRPr="006F07ED">
        <w:rPr>
          <w:color w:val="000000" w:themeColor="text1"/>
          <w:sz w:val="28"/>
          <w:szCs w:val="28"/>
        </w:rPr>
        <w:t>, ускоренными темпами развивались предприятия</w:t>
      </w:r>
      <w:r w:rsidR="00DF5750" w:rsidRPr="006F07ED">
        <w:rPr>
          <w:color w:val="000000" w:themeColor="text1"/>
          <w:sz w:val="28"/>
          <w:szCs w:val="28"/>
        </w:rPr>
        <w:t xml:space="preserve"> по </w:t>
      </w:r>
      <w:r w:rsidR="00807232" w:rsidRPr="006F07ED">
        <w:rPr>
          <w:color w:val="000000" w:themeColor="text1"/>
          <w:sz w:val="28"/>
          <w:szCs w:val="28"/>
        </w:rPr>
        <w:t>п</w:t>
      </w:r>
      <w:r w:rsidR="00DF5750" w:rsidRPr="006F07ED">
        <w:rPr>
          <w:color w:val="000000" w:themeColor="text1"/>
          <w:sz w:val="28"/>
          <w:szCs w:val="28"/>
        </w:rPr>
        <w:t>роизводству</w:t>
      </w:r>
      <w:r w:rsidR="005E0CA5" w:rsidRPr="006F07ED">
        <w:rPr>
          <w:color w:val="000000" w:themeColor="text1"/>
          <w:sz w:val="28"/>
          <w:szCs w:val="28"/>
        </w:rPr>
        <w:t xml:space="preserve"> </w:t>
      </w:r>
      <w:r w:rsidR="00347AED" w:rsidRPr="006F07ED">
        <w:rPr>
          <w:color w:val="000000" w:themeColor="text1"/>
          <w:sz w:val="28"/>
          <w:szCs w:val="28"/>
        </w:rPr>
        <w:t>р</w:t>
      </w:r>
      <w:r w:rsidR="00807232" w:rsidRPr="006F07ED">
        <w:rPr>
          <w:color w:val="000000" w:themeColor="text1"/>
          <w:sz w:val="28"/>
          <w:szCs w:val="28"/>
        </w:rPr>
        <w:t>езиновых и пластмассовых изделий</w:t>
      </w:r>
      <w:r w:rsidR="00347AED" w:rsidRPr="006F07ED">
        <w:rPr>
          <w:color w:val="000000" w:themeColor="text1"/>
          <w:sz w:val="28"/>
          <w:szCs w:val="28"/>
        </w:rPr>
        <w:t>, производству прочих неметалличес</w:t>
      </w:r>
      <w:bookmarkStart w:id="0" w:name="_GoBack"/>
      <w:bookmarkEnd w:id="0"/>
      <w:r w:rsidR="00347AED" w:rsidRPr="006F07ED">
        <w:rPr>
          <w:color w:val="000000" w:themeColor="text1"/>
          <w:sz w:val="28"/>
          <w:szCs w:val="28"/>
        </w:rPr>
        <w:t>ких минеральных продуктов</w:t>
      </w:r>
      <w:r w:rsidR="005E0CA5" w:rsidRPr="006F07ED">
        <w:rPr>
          <w:color w:val="000000" w:themeColor="text1"/>
          <w:sz w:val="28"/>
          <w:szCs w:val="28"/>
        </w:rPr>
        <w:t>.</w:t>
      </w:r>
      <w:r w:rsidR="0051075C" w:rsidRPr="006F07ED">
        <w:rPr>
          <w:color w:val="000000" w:themeColor="text1"/>
          <w:sz w:val="28"/>
          <w:szCs w:val="28"/>
        </w:rPr>
        <w:t xml:space="preserve"> </w:t>
      </w:r>
      <w:r w:rsidR="00347AED" w:rsidRPr="006F07ED">
        <w:rPr>
          <w:color w:val="000000" w:themeColor="text1"/>
          <w:sz w:val="28"/>
          <w:szCs w:val="28"/>
        </w:rPr>
        <w:t xml:space="preserve"> </w:t>
      </w:r>
      <w:r w:rsidR="00C61675" w:rsidRPr="006F07ED">
        <w:rPr>
          <w:color w:val="000000" w:themeColor="text1"/>
          <w:sz w:val="28"/>
          <w:szCs w:val="28"/>
        </w:rPr>
        <w:t>Продолжена реализация ряда крупных инвестиционных проектов, сохранены объемы ввода жилья. Обеспечена устойчивая работа объектов коммунального хозяйства и учреждений социальной сферы. В полном объеме осуществлялось финансирование расходов, связанных с выплатой заработной платы, социальным обеспечением населения.</w:t>
      </w:r>
    </w:p>
    <w:p w:rsidR="00EF7569" w:rsidRPr="006F07ED" w:rsidRDefault="00196DB1" w:rsidP="00ED397C">
      <w:pPr>
        <w:pStyle w:val="a7"/>
        <w:spacing w:before="0" w:beforeAutospacing="0" w:after="0" w:afterAutospacing="0" w:line="360" w:lineRule="auto"/>
        <w:ind w:left="-363" w:firstLine="708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Экономика  </w:t>
      </w:r>
      <w:r w:rsidR="009C4AB4" w:rsidRPr="006F07ED">
        <w:rPr>
          <w:color w:val="000000" w:themeColor="text1"/>
          <w:sz w:val="28"/>
          <w:szCs w:val="28"/>
        </w:rPr>
        <w:t>городского</w:t>
      </w:r>
      <w:r w:rsidRPr="006F07ED">
        <w:rPr>
          <w:color w:val="000000" w:themeColor="text1"/>
          <w:sz w:val="28"/>
          <w:szCs w:val="28"/>
        </w:rPr>
        <w:t xml:space="preserve">  округа  представлена  следующими  основными видами  экономической  деятельности:  промышленность,  строительство, торговля, транспорт и связь. </w:t>
      </w:r>
    </w:p>
    <w:p w:rsidR="00196DB1" w:rsidRPr="006F07ED" w:rsidRDefault="00196DB1" w:rsidP="00ED397C">
      <w:pPr>
        <w:pStyle w:val="a7"/>
        <w:spacing w:before="0" w:beforeAutospacing="0" w:after="0" w:afterAutospacing="0" w:line="360" w:lineRule="auto"/>
        <w:ind w:left="-363" w:firstLine="708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>За январь</w:t>
      </w:r>
      <w:r w:rsidR="009C4AB4" w:rsidRPr="006F07ED">
        <w:rPr>
          <w:color w:val="000000" w:themeColor="text1"/>
          <w:sz w:val="28"/>
          <w:szCs w:val="28"/>
        </w:rPr>
        <w:t xml:space="preserve"> </w:t>
      </w:r>
      <w:r w:rsidRPr="006F07ED">
        <w:rPr>
          <w:color w:val="000000" w:themeColor="text1"/>
          <w:sz w:val="28"/>
          <w:szCs w:val="28"/>
        </w:rPr>
        <w:t>-</w:t>
      </w:r>
      <w:r w:rsidR="009C4AB4" w:rsidRPr="006F07ED">
        <w:rPr>
          <w:color w:val="000000" w:themeColor="text1"/>
          <w:sz w:val="28"/>
          <w:szCs w:val="28"/>
        </w:rPr>
        <w:t xml:space="preserve"> </w:t>
      </w:r>
      <w:r w:rsidR="00523AB6" w:rsidRPr="006F07ED">
        <w:rPr>
          <w:color w:val="000000" w:themeColor="text1"/>
          <w:sz w:val="28"/>
          <w:szCs w:val="28"/>
        </w:rPr>
        <w:t>дека</w:t>
      </w:r>
      <w:r w:rsidR="009C4AB4" w:rsidRPr="006F07ED">
        <w:rPr>
          <w:color w:val="000000" w:themeColor="text1"/>
          <w:sz w:val="28"/>
          <w:szCs w:val="28"/>
        </w:rPr>
        <w:t>бр</w:t>
      </w:r>
      <w:r w:rsidRPr="006F07ED">
        <w:rPr>
          <w:color w:val="000000" w:themeColor="text1"/>
          <w:sz w:val="28"/>
          <w:szCs w:val="28"/>
        </w:rPr>
        <w:t>ь  201</w:t>
      </w:r>
      <w:r w:rsidR="00523AB6" w:rsidRPr="006F07ED">
        <w:rPr>
          <w:color w:val="000000" w:themeColor="text1"/>
          <w:sz w:val="28"/>
          <w:szCs w:val="28"/>
        </w:rPr>
        <w:t>6</w:t>
      </w:r>
      <w:r w:rsidRPr="006F07ED">
        <w:rPr>
          <w:color w:val="000000" w:themeColor="text1"/>
          <w:sz w:val="28"/>
          <w:szCs w:val="28"/>
        </w:rPr>
        <w:t xml:space="preserve"> года  оборот  организаций </w:t>
      </w:r>
      <w:r w:rsidR="009C4AB4" w:rsidRPr="006F07ED">
        <w:rPr>
          <w:color w:val="000000" w:themeColor="text1"/>
          <w:sz w:val="28"/>
          <w:szCs w:val="28"/>
        </w:rPr>
        <w:t>городског</w:t>
      </w:r>
      <w:r w:rsidRPr="006F07ED">
        <w:rPr>
          <w:color w:val="000000" w:themeColor="text1"/>
          <w:sz w:val="28"/>
          <w:szCs w:val="28"/>
        </w:rPr>
        <w:t xml:space="preserve">о  округа, включающий  стоимость отгруженных  товаров собственного  производства, выполненных  собственными силами  работ  и  услуг,  а  также выручку  от  продажи приобретенных  на  стороне товаров,  составил  </w:t>
      </w:r>
      <w:r w:rsidR="00523AB6" w:rsidRPr="006F07ED">
        <w:rPr>
          <w:color w:val="000000" w:themeColor="text1"/>
          <w:sz w:val="28"/>
          <w:szCs w:val="28"/>
        </w:rPr>
        <w:t>45,9</w:t>
      </w:r>
      <w:r w:rsidRPr="006F07ED">
        <w:rPr>
          <w:color w:val="000000" w:themeColor="text1"/>
          <w:sz w:val="28"/>
          <w:szCs w:val="28"/>
        </w:rPr>
        <w:t xml:space="preserve">  млрд. рублей,  что  в  действующих ценах на </w:t>
      </w:r>
      <w:r w:rsidR="00523AB6" w:rsidRPr="006F07ED">
        <w:rPr>
          <w:color w:val="000000" w:themeColor="text1"/>
          <w:sz w:val="28"/>
          <w:szCs w:val="28"/>
        </w:rPr>
        <w:t>6,3</w:t>
      </w:r>
      <w:r w:rsidRPr="006F07ED">
        <w:rPr>
          <w:color w:val="000000" w:themeColor="text1"/>
          <w:sz w:val="28"/>
          <w:szCs w:val="28"/>
        </w:rPr>
        <w:t xml:space="preserve"> выше </w:t>
      </w:r>
      <w:r w:rsidR="00523AB6" w:rsidRPr="006F07ED">
        <w:rPr>
          <w:color w:val="000000" w:themeColor="text1"/>
          <w:sz w:val="28"/>
          <w:szCs w:val="28"/>
        </w:rPr>
        <w:t>показателя</w:t>
      </w:r>
      <w:r w:rsidRPr="006F07ED">
        <w:rPr>
          <w:color w:val="000000" w:themeColor="text1"/>
          <w:sz w:val="28"/>
          <w:szCs w:val="28"/>
        </w:rPr>
        <w:t xml:space="preserve"> 201</w:t>
      </w:r>
      <w:r w:rsidR="00523AB6" w:rsidRPr="006F07ED">
        <w:rPr>
          <w:color w:val="000000" w:themeColor="text1"/>
          <w:sz w:val="28"/>
          <w:szCs w:val="28"/>
        </w:rPr>
        <w:t>5</w:t>
      </w:r>
      <w:r w:rsidRPr="006F07ED">
        <w:rPr>
          <w:color w:val="000000" w:themeColor="text1"/>
          <w:sz w:val="28"/>
          <w:szCs w:val="28"/>
        </w:rPr>
        <w:t xml:space="preserve"> года. </w:t>
      </w:r>
    </w:p>
    <w:p w:rsidR="0069137A" w:rsidRPr="006F07ED" w:rsidRDefault="0069137A" w:rsidP="0069137A">
      <w:pPr>
        <w:pStyle w:val="a7"/>
        <w:spacing w:before="0" w:beforeAutospacing="0" w:after="0" w:afterAutospacing="0" w:line="360" w:lineRule="auto"/>
        <w:ind w:left="-363" w:firstLine="708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Наибольший удельный вес  –  67,4% (30,9  млрд. рублей)  –  приходится на промышленное производство,  представленное добычей полезных ископаемых, обрабатывающим производством, а также производством и распределением электроэнергии, газа и воды. </w:t>
      </w:r>
    </w:p>
    <w:p w:rsidR="0069137A" w:rsidRPr="006F07ED" w:rsidRDefault="0069137A" w:rsidP="0069137A">
      <w:pPr>
        <w:pStyle w:val="a7"/>
        <w:spacing w:before="0" w:beforeAutospacing="0" w:after="0" w:afterAutospacing="0" w:line="360" w:lineRule="auto"/>
        <w:ind w:left="-363" w:firstLine="708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Строительство  занимает  4,6%  от  всего  оборота  организаций  (1,17  млрд. рублей),  торговля  –  16,9%  (7,8 млрд.  рублей),  транспорт  и  связь  –  </w:t>
      </w:r>
      <w:r w:rsidRPr="006F07ED">
        <w:rPr>
          <w:color w:val="000000" w:themeColor="text1"/>
          <w:sz w:val="28"/>
          <w:szCs w:val="28"/>
        </w:rPr>
        <w:lastRenderedPageBreak/>
        <w:t xml:space="preserve">3,7% (1,7 млрд. рублей). Около  5,9% приходится на деятельность по операциям с недвижимым имуществом, арендой и предоставлением услуг. </w:t>
      </w:r>
    </w:p>
    <w:p w:rsidR="007E4474" w:rsidRPr="006F07ED" w:rsidRDefault="007E4474" w:rsidP="00AD2957">
      <w:pPr>
        <w:spacing w:after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>Оборот организаций</w:t>
      </w:r>
    </w:p>
    <w:p w:rsidR="007E4474" w:rsidRPr="006F07ED" w:rsidRDefault="007E4474" w:rsidP="00AD2957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color w:val="000000" w:themeColor="text1"/>
          <w:sz w:val="26"/>
          <w:szCs w:val="26"/>
        </w:rPr>
        <w:t>(млрд. рублей)</w:t>
      </w:r>
    </w:p>
    <w:p w:rsidR="007E4474" w:rsidRPr="006F07ED" w:rsidRDefault="007E4474" w:rsidP="007E447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59055</wp:posOffset>
            </wp:positionV>
            <wp:extent cx="4296410" cy="247904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474" w:rsidRPr="006F07ED" w:rsidRDefault="007E4474" w:rsidP="007E447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474" w:rsidRPr="006F07ED" w:rsidRDefault="007E4474" w:rsidP="007E447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474" w:rsidRPr="006F07ED" w:rsidRDefault="007E4474" w:rsidP="007E4474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474" w:rsidRPr="006F07ED" w:rsidRDefault="007E4474" w:rsidP="007E4474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474" w:rsidRPr="006F07ED" w:rsidRDefault="007E4474" w:rsidP="007E447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474" w:rsidRPr="006F07ED" w:rsidRDefault="007E4474" w:rsidP="00ED397C">
      <w:pPr>
        <w:pStyle w:val="a7"/>
        <w:spacing w:before="0" w:beforeAutospacing="0" w:after="0" w:afterAutospacing="0" w:line="360" w:lineRule="auto"/>
        <w:ind w:left="-363" w:firstLine="708"/>
        <w:jc w:val="both"/>
        <w:rPr>
          <w:color w:val="000000" w:themeColor="text1"/>
          <w:sz w:val="28"/>
          <w:szCs w:val="28"/>
        </w:rPr>
      </w:pPr>
    </w:p>
    <w:p w:rsidR="007E4474" w:rsidRPr="006F07ED" w:rsidRDefault="007E4474" w:rsidP="00ED397C">
      <w:pPr>
        <w:pStyle w:val="a7"/>
        <w:spacing w:before="0" w:beforeAutospacing="0" w:after="0" w:afterAutospacing="0" w:line="360" w:lineRule="auto"/>
        <w:ind w:left="-363" w:firstLine="708"/>
        <w:jc w:val="both"/>
        <w:rPr>
          <w:color w:val="000000" w:themeColor="text1"/>
          <w:sz w:val="28"/>
          <w:szCs w:val="28"/>
        </w:rPr>
      </w:pPr>
    </w:p>
    <w:p w:rsidR="00EF7569" w:rsidRPr="006F07ED" w:rsidRDefault="00EF7569" w:rsidP="00EF7569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Объем отгруженных товаров собственного производства, выполненных работ и оказанных услуг собственными силами составил </w:t>
      </w:r>
      <w:r w:rsidR="00703CC1" w:rsidRPr="006F07ED">
        <w:rPr>
          <w:rFonts w:ascii="Times New Roman" w:hAnsi="Times New Roman"/>
          <w:color w:val="000000" w:themeColor="text1"/>
          <w:sz w:val="28"/>
          <w:szCs w:val="28"/>
        </w:rPr>
        <w:t>34,</w:t>
      </w:r>
      <w:r w:rsidR="00656741" w:rsidRPr="006F07E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млрд. рублей</w:t>
      </w:r>
      <w:r w:rsidR="00703CC1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или 102,7% к предыдущему году 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>в действующих ценах.</w:t>
      </w:r>
    </w:p>
    <w:p w:rsidR="006D56EA" w:rsidRPr="006F07ED" w:rsidRDefault="006D56EA" w:rsidP="00AD2957">
      <w:pPr>
        <w:spacing w:after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>Объем отгруженных товаров собственного производства,</w:t>
      </w:r>
    </w:p>
    <w:p w:rsidR="006D56EA" w:rsidRPr="006F07ED" w:rsidRDefault="006D56EA" w:rsidP="00AD2957">
      <w:pPr>
        <w:spacing w:after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>выполненных работ и услуг собственными силами</w:t>
      </w:r>
    </w:p>
    <w:p w:rsidR="006D56EA" w:rsidRPr="006F07ED" w:rsidRDefault="006D56EA" w:rsidP="00AD2957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color w:val="000000" w:themeColor="text1"/>
          <w:sz w:val="26"/>
          <w:szCs w:val="26"/>
        </w:rPr>
        <w:t>(млрд. рублей)</w:t>
      </w:r>
    </w:p>
    <w:p w:rsidR="006D56EA" w:rsidRPr="006F07ED" w:rsidRDefault="006D56EA" w:rsidP="006D56E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59055</wp:posOffset>
            </wp:positionV>
            <wp:extent cx="4296410" cy="2479040"/>
            <wp:effectExtent l="0" t="0" r="0" b="0"/>
            <wp:wrapSquare wrapText="right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6EA" w:rsidRPr="006F07ED" w:rsidRDefault="006D56EA" w:rsidP="006D56E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56EA" w:rsidRPr="006F07ED" w:rsidRDefault="006D56EA" w:rsidP="006D56E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56EA" w:rsidRPr="006F07ED" w:rsidRDefault="006D56EA" w:rsidP="006D56EA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56EA" w:rsidRPr="006F07ED" w:rsidRDefault="006D56EA" w:rsidP="006D56EA">
      <w:pPr>
        <w:spacing w:after="0" w:line="360" w:lineRule="auto"/>
        <w:rPr>
          <w:b/>
          <w:color w:val="000000" w:themeColor="text1"/>
          <w:sz w:val="34"/>
        </w:rPr>
      </w:pPr>
    </w:p>
    <w:p w:rsidR="006D56EA" w:rsidRPr="006F07ED" w:rsidRDefault="006D56EA" w:rsidP="00EF7569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56EA" w:rsidRPr="006F07ED" w:rsidRDefault="006D56EA" w:rsidP="00EF7569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56EA" w:rsidRPr="006F07ED" w:rsidRDefault="006D56EA" w:rsidP="00EF7569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56EA" w:rsidRPr="006F07ED" w:rsidRDefault="006D56EA" w:rsidP="00EF7569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56EA" w:rsidRPr="006F07ED" w:rsidRDefault="006D56EA" w:rsidP="00EF7569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0CA5" w:rsidRPr="006F07ED" w:rsidRDefault="005E0CA5" w:rsidP="00ED397C">
      <w:pPr>
        <w:pStyle w:val="a7"/>
        <w:spacing w:before="0" w:beforeAutospacing="0" w:after="0" w:afterAutospacing="0" w:line="360" w:lineRule="auto"/>
        <w:ind w:left="-363"/>
        <w:jc w:val="both"/>
        <w:rPr>
          <w:b/>
          <w:bCs/>
          <w:color w:val="000000" w:themeColor="text1"/>
          <w:sz w:val="28"/>
          <w:szCs w:val="28"/>
        </w:rPr>
      </w:pPr>
      <w:r w:rsidRPr="006F07ED">
        <w:rPr>
          <w:b/>
          <w:bCs/>
          <w:color w:val="000000" w:themeColor="text1"/>
          <w:sz w:val="28"/>
          <w:szCs w:val="28"/>
        </w:rPr>
        <w:lastRenderedPageBreak/>
        <w:t xml:space="preserve"> Промышленное производство</w:t>
      </w:r>
    </w:p>
    <w:p w:rsidR="00807232" w:rsidRPr="006F07ED" w:rsidRDefault="00496FCB" w:rsidP="00496FCB">
      <w:pPr>
        <w:pStyle w:val="af"/>
        <w:spacing w:after="0" w:line="360" w:lineRule="auto"/>
        <w:ind w:left="-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Ведущая отрасль экономики городского округа – промышленность. Доля отрасли в общем объеме отгруженных товаров, выполненных работ и оказанных услуг крупных и средних предприятий городского округа составила в 2016 году 79,3%. </w:t>
      </w:r>
      <w:r w:rsidR="008F65D0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Отчетный </w:t>
      </w:r>
      <w:r w:rsidR="00EF4846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год </w:t>
      </w:r>
      <w:r w:rsidR="008F65D0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отмечен ростом  объемов производства в промышленном секторе  экономики.  </w:t>
      </w:r>
      <w:r w:rsidR="00B9178E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Индекс промышленного производства по итогам </w:t>
      </w:r>
      <w:r w:rsidR="00D4051D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января-</w:t>
      </w:r>
      <w:r w:rsidR="00EF4846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</w:t>
      </w:r>
      <w:r w:rsidR="00D4051D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 </w:t>
      </w:r>
      <w:r w:rsidR="00B9178E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201</w:t>
      </w:r>
      <w:r w:rsidR="00EF4846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9178E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составил 1</w:t>
      </w:r>
      <w:r w:rsidR="00807232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EF4846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7,8</w:t>
      </w:r>
      <w:r w:rsidR="00B9178E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в том числе в добыче полезных ископаемых </w:t>
      </w:r>
      <w:r w:rsidR="00807232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9178E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807232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F4846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5,4</w:t>
      </w:r>
      <w:r w:rsidR="00B9178E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 в обрабатывающих производствах </w:t>
      </w:r>
      <w:r w:rsidR="00D4051D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9178E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807232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EF4846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6,4</w:t>
      </w:r>
      <w:r w:rsidR="00B9178E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в производстве и распределении электроэнергии, газа и воды </w:t>
      </w:r>
      <w:r w:rsidR="00D4051D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9178E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</w:t>
      </w:r>
      <w:r w:rsidR="00EF4846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6,8</w:t>
      </w:r>
      <w:r w:rsidR="00B9178E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  <w:r w:rsidR="00E9339C"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D2957" w:rsidRPr="006F07ED" w:rsidRDefault="00AD2957" w:rsidP="00AD2957">
      <w:pPr>
        <w:jc w:val="center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</w:p>
    <w:p w:rsidR="008844D7" w:rsidRPr="006F07ED" w:rsidRDefault="0092526C" w:rsidP="00AD2957">
      <w:pPr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     </w:t>
      </w:r>
      <w:r w:rsidR="008844D7" w:rsidRPr="006F07ED">
        <w:rPr>
          <w:rFonts w:ascii="Times New Roman" w:hAnsi="Times New Roman"/>
          <w:b/>
          <w:color w:val="000000" w:themeColor="text1"/>
          <w:sz w:val="27"/>
          <w:szCs w:val="27"/>
        </w:rPr>
        <w:t xml:space="preserve">Индекс промышленного производства </w:t>
      </w:r>
    </w:p>
    <w:p w:rsidR="008844D7" w:rsidRPr="006F07ED" w:rsidRDefault="008844D7" w:rsidP="00AD2957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6F07ED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222885</wp:posOffset>
            </wp:positionV>
            <wp:extent cx="5772785" cy="2734310"/>
            <wp:effectExtent l="635" t="3810" r="0" b="0"/>
            <wp:wrapSquare wrapText="right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color w:val="000000" w:themeColor="text1"/>
          <w:sz w:val="26"/>
          <w:szCs w:val="26"/>
        </w:rPr>
        <w:t>(%)</w:t>
      </w:r>
      <w:r w:rsidRPr="006F07E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6F07ED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8844D7" w:rsidRPr="006F07ED" w:rsidRDefault="008844D7" w:rsidP="0092526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06E55" w:rsidRPr="006F07ED" w:rsidRDefault="00F06E55" w:rsidP="008844D7">
      <w:pPr>
        <w:pStyle w:val="a7"/>
        <w:spacing w:before="0" w:beforeAutospacing="0" w:after="0" w:afterAutospacing="0" w:line="360" w:lineRule="auto"/>
        <w:ind w:left="-363"/>
        <w:rPr>
          <w:b/>
          <w:color w:val="000000" w:themeColor="text1"/>
          <w:sz w:val="28"/>
          <w:szCs w:val="28"/>
        </w:rPr>
      </w:pPr>
      <w:r w:rsidRPr="006F07ED">
        <w:rPr>
          <w:b/>
          <w:color w:val="000000" w:themeColor="text1"/>
          <w:sz w:val="28"/>
          <w:szCs w:val="28"/>
        </w:rPr>
        <w:t>Добыча полезных ископаемых</w:t>
      </w:r>
    </w:p>
    <w:p w:rsidR="00F06E55" w:rsidRPr="006F07ED" w:rsidRDefault="00F06E55" w:rsidP="00F06E55">
      <w:pPr>
        <w:pStyle w:val="a7"/>
        <w:spacing w:before="0" w:beforeAutospacing="0" w:after="0" w:afterAutospacing="0" w:line="360" w:lineRule="auto"/>
        <w:ind w:left="-363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>За 2016 год  индекс промышленного производства в добыче полезных ископаемых составил 115,4%. Рост индекса производства обеспечен предприятиями ООО «Ойл-сервис» (120,1% к уровню 2015 года), ООО «</w:t>
      </w:r>
      <w:proofErr w:type="spellStart"/>
      <w:r w:rsidRPr="006F07ED">
        <w:rPr>
          <w:color w:val="000000" w:themeColor="text1"/>
          <w:sz w:val="28"/>
          <w:szCs w:val="28"/>
        </w:rPr>
        <w:t>ПетроТул</w:t>
      </w:r>
      <w:proofErr w:type="spellEnd"/>
      <w:r w:rsidRPr="006F07ED">
        <w:rPr>
          <w:color w:val="000000" w:themeColor="text1"/>
          <w:sz w:val="28"/>
          <w:szCs w:val="28"/>
        </w:rPr>
        <w:t xml:space="preserve">» (123,9%). </w:t>
      </w:r>
    </w:p>
    <w:p w:rsidR="00A0462A" w:rsidRPr="006F07ED" w:rsidRDefault="00A0462A" w:rsidP="00F94BD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A0462A" w:rsidRPr="006F07ED" w:rsidRDefault="00A0462A" w:rsidP="00F94BD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A0462A" w:rsidRPr="006F07ED" w:rsidRDefault="00A0462A" w:rsidP="00F94BD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F94BD8" w:rsidRPr="006F07ED" w:rsidRDefault="00F94BD8" w:rsidP="00E44A86">
      <w:pPr>
        <w:spacing w:after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lastRenderedPageBreak/>
        <w:t>Индекс промышленного производства в добыче полезных ископаемых</w:t>
      </w:r>
    </w:p>
    <w:p w:rsidR="00F94BD8" w:rsidRPr="006F07ED" w:rsidRDefault="00CD50BA" w:rsidP="00E44A86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color w:val="000000" w:themeColor="text1"/>
          <w:sz w:val="26"/>
          <w:szCs w:val="26"/>
        </w:rPr>
        <w:t xml:space="preserve">(в </w:t>
      </w:r>
      <w:r w:rsidR="00F94BD8" w:rsidRPr="006F07ED">
        <w:rPr>
          <w:rFonts w:ascii="Times New Roman" w:hAnsi="Times New Roman"/>
          <w:color w:val="000000" w:themeColor="text1"/>
          <w:sz w:val="26"/>
          <w:szCs w:val="26"/>
        </w:rPr>
        <w:t>%</w:t>
      </w:r>
      <w:r w:rsidRPr="006F07ED">
        <w:rPr>
          <w:rFonts w:ascii="Times New Roman" w:hAnsi="Times New Roman"/>
          <w:color w:val="000000" w:themeColor="text1"/>
          <w:sz w:val="26"/>
          <w:szCs w:val="26"/>
        </w:rPr>
        <w:t xml:space="preserve"> к предыдущему году</w:t>
      </w:r>
      <w:r w:rsidR="00F94BD8" w:rsidRPr="006F07ED">
        <w:rPr>
          <w:rFonts w:ascii="Times New Roman" w:hAnsi="Times New Roman"/>
          <w:color w:val="000000" w:themeColor="text1"/>
          <w:sz w:val="26"/>
          <w:szCs w:val="26"/>
        </w:rPr>
        <w:t>)</w:t>
      </w:r>
    </w:p>
    <w:p w:rsidR="00F94BD8" w:rsidRPr="006F07ED" w:rsidRDefault="00F94BD8" w:rsidP="00F94BD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8890</wp:posOffset>
            </wp:positionV>
            <wp:extent cx="4296410" cy="2479040"/>
            <wp:effectExtent l="0" t="0" r="3175" b="0"/>
            <wp:wrapSquare wrapText="right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BD8" w:rsidRPr="006F07ED" w:rsidRDefault="00F94BD8" w:rsidP="00F94B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4BD8" w:rsidRPr="006F07ED" w:rsidRDefault="00F94BD8" w:rsidP="00F94B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4BD8" w:rsidRPr="006F07ED" w:rsidRDefault="00F94BD8" w:rsidP="00F94BD8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4BD8" w:rsidRPr="006F07ED" w:rsidRDefault="00F94BD8" w:rsidP="00F94BD8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4BD8" w:rsidRPr="006F07ED" w:rsidRDefault="00F94BD8" w:rsidP="00F94B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4BD8" w:rsidRPr="006F07ED" w:rsidRDefault="00F94BD8" w:rsidP="00F06E55">
      <w:pPr>
        <w:pStyle w:val="a7"/>
        <w:spacing w:before="0" w:beforeAutospacing="0" w:after="0" w:afterAutospacing="0" w:line="360" w:lineRule="auto"/>
        <w:ind w:left="-363"/>
        <w:jc w:val="both"/>
        <w:rPr>
          <w:color w:val="000000" w:themeColor="text1"/>
          <w:sz w:val="28"/>
          <w:szCs w:val="28"/>
        </w:rPr>
      </w:pPr>
    </w:p>
    <w:p w:rsidR="00F94BD8" w:rsidRPr="006F07ED" w:rsidRDefault="00F94BD8" w:rsidP="008844D7">
      <w:pPr>
        <w:pStyle w:val="a7"/>
        <w:spacing w:before="0" w:beforeAutospacing="0" w:after="0" w:afterAutospacing="0" w:line="360" w:lineRule="auto"/>
        <w:ind w:left="-363"/>
        <w:rPr>
          <w:b/>
          <w:color w:val="000000" w:themeColor="text1"/>
          <w:sz w:val="28"/>
          <w:szCs w:val="28"/>
        </w:rPr>
      </w:pPr>
    </w:p>
    <w:p w:rsidR="008844D7" w:rsidRPr="006F07ED" w:rsidRDefault="00F06E55" w:rsidP="008844D7">
      <w:pPr>
        <w:pStyle w:val="a7"/>
        <w:spacing w:before="0" w:beforeAutospacing="0" w:after="0" w:afterAutospacing="0" w:line="360" w:lineRule="auto"/>
        <w:ind w:left="-363"/>
        <w:rPr>
          <w:b/>
          <w:color w:val="000000" w:themeColor="text1"/>
          <w:sz w:val="28"/>
          <w:szCs w:val="28"/>
        </w:rPr>
      </w:pPr>
      <w:r w:rsidRPr="006F07ED">
        <w:rPr>
          <w:b/>
          <w:color w:val="000000" w:themeColor="text1"/>
          <w:sz w:val="28"/>
          <w:szCs w:val="28"/>
        </w:rPr>
        <w:t>О</w:t>
      </w:r>
      <w:r w:rsidR="008844D7" w:rsidRPr="006F07ED">
        <w:rPr>
          <w:b/>
          <w:color w:val="000000" w:themeColor="text1"/>
          <w:sz w:val="28"/>
          <w:szCs w:val="28"/>
        </w:rPr>
        <w:t>брабатывающие  производства</w:t>
      </w:r>
    </w:p>
    <w:p w:rsidR="0032394B" w:rsidRPr="006F07ED" w:rsidRDefault="008844D7" w:rsidP="0032394B">
      <w:pPr>
        <w:pStyle w:val="a7"/>
        <w:spacing w:before="0" w:beforeAutospacing="0" w:after="0" w:afterAutospacing="0" w:line="360" w:lineRule="auto"/>
        <w:ind w:left="-283" w:firstLine="708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В обрабатывающем секторе наиболее высокая динамика роста обеспечена в  производствах:   резиновых и пластмассовых изделий (120,1%), прочих неметаллических минеральных продуктов (115,8%).  </w:t>
      </w:r>
      <w:r w:rsidR="0032394B" w:rsidRPr="006F07ED">
        <w:rPr>
          <w:color w:val="000000" w:themeColor="text1"/>
          <w:sz w:val="28"/>
          <w:szCs w:val="28"/>
        </w:rPr>
        <w:t xml:space="preserve">Динамично развивалось производство машин и оборудования – 101,3%. </w:t>
      </w:r>
    </w:p>
    <w:p w:rsidR="00D777FD" w:rsidRPr="006F07ED" w:rsidRDefault="00D777FD" w:rsidP="00D777FD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Спад объемов промышленного производства зафиксирован в производстве электрооборудования (63,3% к уровню 2015 года), пищевых </w:t>
      </w:r>
      <w:proofErr w:type="gramStart"/>
      <w:r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продуктах  –</w:t>
      </w:r>
      <w:proofErr w:type="gramEnd"/>
      <w:r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(98,0%).</w:t>
      </w:r>
    </w:p>
    <w:p w:rsidR="00D777FD" w:rsidRPr="006F07ED" w:rsidRDefault="00D777FD" w:rsidP="00D777FD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 сложная</w:t>
      </w:r>
      <w:proofErr w:type="gramEnd"/>
      <w:r w:rsidRPr="006F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ситуация  сложилась  в  производстве электрооборудования – в течение  2016  года  в  отрасли  наблюдается отрицательная  динамика.  </w:t>
      </w:r>
    </w:p>
    <w:p w:rsidR="00BE3B8F" w:rsidRPr="006F07ED" w:rsidRDefault="00BE3B8F" w:rsidP="00AD2957">
      <w:pPr>
        <w:tabs>
          <w:tab w:val="center" w:pos="4677"/>
        </w:tabs>
        <w:spacing w:after="0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 xml:space="preserve">Индекс промышленного производства </w:t>
      </w:r>
      <w:proofErr w:type="gramStart"/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>в  обрабатывающих</w:t>
      </w:r>
      <w:proofErr w:type="gramEnd"/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производствах</w:t>
      </w:r>
    </w:p>
    <w:p w:rsidR="00BE3B8F" w:rsidRPr="006F07ED" w:rsidRDefault="00AD2957" w:rsidP="00AD2957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F07E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327660</wp:posOffset>
            </wp:positionV>
            <wp:extent cx="4867275" cy="2479040"/>
            <wp:effectExtent l="0" t="1905" r="3810" b="0"/>
            <wp:wrapSquare wrapText="right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B8F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E3B8F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E3B8F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E3B8F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E3B8F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777FD" w:rsidRPr="006F07ED">
        <w:rPr>
          <w:rFonts w:ascii="Times New Roman" w:hAnsi="Times New Roman"/>
          <w:color w:val="000000" w:themeColor="text1"/>
          <w:sz w:val="26"/>
          <w:szCs w:val="26"/>
        </w:rPr>
        <w:t>(в % к предыдущему году)</w:t>
      </w:r>
      <w:r w:rsidR="00BE3B8F" w:rsidRPr="006F07ED">
        <w:rPr>
          <w:rFonts w:ascii="Times New Roman" w:hAnsi="Times New Roman"/>
          <w:color w:val="000000" w:themeColor="text1"/>
          <w:sz w:val="26"/>
          <w:szCs w:val="26"/>
        </w:rPr>
        <w:tab/>
      </w:r>
      <w:r w:rsidR="00BE3B8F" w:rsidRPr="006F07E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E3B8F" w:rsidRPr="006F07E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E3B8F" w:rsidRPr="006F07E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E3B8F" w:rsidRPr="006F07ED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</w:p>
    <w:p w:rsidR="00BE3B8F" w:rsidRPr="006F07ED" w:rsidRDefault="00BE3B8F" w:rsidP="00BE3B8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E3B8F" w:rsidRPr="006F07ED" w:rsidRDefault="00BE3B8F" w:rsidP="00BE3B8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3B8F" w:rsidRPr="006F07ED" w:rsidRDefault="00BE3B8F" w:rsidP="00BE3B8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7159A" w:rsidRPr="006F07ED" w:rsidRDefault="0067159A" w:rsidP="00795062">
      <w:pPr>
        <w:pStyle w:val="a7"/>
        <w:spacing w:before="0" w:beforeAutospacing="0" w:after="0" w:afterAutospacing="0" w:line="360" w:lineRule="auto"/>
        <w:ind w:left="-340" w:firstLine="708"/>
        <w:jc w:val="both"/>
        <w:rPr>
          <w:color w:val="000000" w:themeColor="text1"/>
          <w:sz w:val="28"/>
          <w:szCs w:val="28"/>
        </w:rPr>
      </w:pPr>
      <w:proofErr w:type="gramStart"/>
      <w:r w:rsidRPr="006F07ED">
        <w:rPr>
          <w:color w:val="000000" w:themeColor="text1"/>
          <w:sz w:val="28"/>
          <w:szCs w:val="28"/>
        </w:rPr>
        <w:lastRenderedPageBreak/>
        <w:t xml:space="preserve">Производство </w:t>
      </w:r>
      <w:r w:rsidR="00EE2F82" w:rsidRPr="006F07ED">
        <w:rPr>
          <w:color w:val="000000" w:themeColor="text1"/>
          <w:sz w:val="28"/>
          <w:szCs w:val="28"/>
        </w:rPr>
        <w:t xml:space="preserve"> плитки</w:t>
      </w:r>
      <w:proofErr w:type="gramEnd"/>
      <w:r w:rsidR="00EE2F82" w:rsidRPr="006F07ED">
        <w:rPr>
          <w:color w:val="000000" w:themeColor="text1"/>
          <w:sz w:val="28"/>
          <w:szCs w:val="28"/>
        </w:rPr>
        <w:t xml:space="preserve"> керамической для полов</w:t>
      </w:r>
      <w:r w:rsidR="00A0462A" w:rsidRPr="006F07ED">
        <w:rPr>
          <w:color w:val="000000" w:themeColor="text1"/>
          <w:sz w:val="28"/>
          <w:szCs w:val="28"/>
        </w:rPr>
        <w:t xml:space="preserve"> возросло в 2016 году относительно 2015 года на 14,8%, посуды столовой и кухонной,</w:t>
      </w:r>
      <w:r w:rsidR="00A63779" w:rsidRPr="006F07ED">
        <w:rPr>
          <w:color w:val="000000" w:themeColor="text1"/>
          <w:sz w:val="28"/>
          <w:szCs w:val="28"/>
        </w:rPr>
        <w:t xml:space="preserve"> </w:t>
      </w:r>
      <w:r w:rsidR="00A0462A" w:rsidRPr="006F07ED">
        <w:rPr>
          <w:color w:val="000000" w:themeColor="text1"/>
          <w:sz w:val="28"/>
          <w:szCs w:val="28"/>
        </w:rPr>
        <w:t>изделий хозяйственных и туалетных из фарфора – в 1,27 раза.</w:t>
      </w:r>
      <w:r w:rsidRPr="006F07ED">
        <w:rPr>
          <w:color w:val="000000" w:themeColor="text1"/>
          <w:sz w:val="28"/>
          <w:szCs w:val="28"/>
        </w:rPr>
        <w:t xml:space="preserve"> </w:t>
      </w:r>
    </w:p>
    <w:p w:rsidR="0067159A" w:rsidRPr="006F07ED" w:rsidRDefault="0067159A" w:rsidP="00795062">
      <w:pPr>
        <w:pStyle w:val="a7"/>
        <w:spacing w:before="0" w:beforeAutospacing="0" w:after="0" w:afterAutospacing="0" w:line="360" w:lineRule="auto"/>
        <w:ind w:left="-340" w:firstLine="708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В машиностроении </w:t>
      </w:r>
      <w:r w:rsidR="00795062" w:rsidRPr="006F07ED">
        <w:rPr>
          <w:color w:val="000000" w:themeColor="text1"/>
          <w:sz w:val="28"/>
          <w:szCs w:val="28"/>
        </w:rPr>
        <w:t>на 12,8</w:t>
      </w:r>
      <w:proofErr w:type="gramStart"/>
      <w:r w:rsidR="00795062" w:rsidRPr="006F07ED">
        <w:rPr>
          <w:color w:val="000000" w:themeColor="text1"/>
          <w:sz w:val="28"/>
          <w:szCs w:val="28"/>
        </w:rPr>
        <w:t xml:space="preserve">% </w:t>
      </w:r>
      <w:r w:rsidRPr="006F07ED">
        <w:rPr>
          <w:color w:val="000000" w:themeColor="text1"/>
          <w:sz w:val="28"/>
          <w:szCs w:val="28"/>
        </w:rPr>
        <w:t xml:space="preserve"> раза</w:t>
      </w:r>
      <w:proofErr w:type="gramEnd"/>
      <w:r w:rsidRPr="006F07ED">
        <w:rPr>
          <w:color w:val="000000" w:themeColor="text1"/>
          <w:sz w:val="28"/>
          <w:szCs w:val="28"/>
        </w:rPr>
        <w:t xml:space="preserve"> увеличился выпуск </w:t>
      </w:r>
      <w:r w:rsidR="00FC19D2" w:rsidRPr="006F07ED">
        <w:rPr>
          <w:color w:val="000000" w:themeColor="text1"/>
          <w:sz w:val="28"/>
          <w:szCs w:val="28"/>
        </w:rPr>
        <w:t>оборудования</w:t>
      </w:r>
      <w:r w:rsidRPr="006F07ED">
        <w:rPr>
          <w:color w:val="000000" w:themeColor="text1"/>
          <w:sz w:val="28"/>
          <w:szCs w:val="28"/>
        </w:rPr>
        <w:t xml:space="preserve"> и</w:t>
      </w:r>
      <w:r w:rsidR="00FC19D2" w:rsidRPr="006F07ED">
        <w:rPr>
          <w:color w:val="000000" w:themeColor="text1"/>
          <w:sz w:val="28"/>
          <w:szCs w:val="28"/>
        </w:rPr>
        <w:t xml:space="preserve"> установок для </w:t>
      </w:r>
      <w:r w:rsidRPr="006F07ED">
        <w:rPr>
          <w:color w:val="000000" w:themeColor="text1"/>
          <w:sz w:val="28"/>
          <w:szCs w:val="28"/>
        </w:rPr>
        <w:t>фильтрования или очистки жидкостей</w:t>
      </w:r>
      <w:r w:rsidR="00FC19D2" w:rsidRPr="006F07ED">
        <w:rPr>
          <w:color w:val="000000" w:themeColor="text1"/>
          <w:sz w:val="28"/>
          <w:szCs w:val="28"/>
        </w:rPr>
        <w:t xml:space="preserve">, </w:t>
      </w:r>
      <w:r w:rsidRPr="006F07ED">
        <w:rPr>
          <w:color w:val="000000" w:themeColor="text1"/>
          <w:sz w:val="28"/>
          <w:szCs w:val="28"/>
        </w:rPr>
        <w:t xml:space="preserve"> </w:t>
      </w:r>
      <w:r w:rsidR="00795062" w:rsidRPr="006F07ED">
        <w:rPr>
          <w:color w:val="000000" w:themeColor="text1"/>
          <w:sz w:val="28"/>
          <w:szCs w:val="28"/>
        </w:rPr>
        <w:t xml:space="preserve">частей </w:t>
      </w:r>
      <w:r w:rsidR="00A63779" w:rsidRPr="006F07ED">
        <w:rPr>
          <w:color w:val="000000" w:themeColor="text1"/>
          <w:sz w:val="28"/>
          <w:szCs w:val="28"/>
        </w:rPr>
        <w:t>гидравлических</w:t>
      </w:r>
      <w:r w:rsidR="00795062" w:rsidRPr="006F07ED">
        <w:rPr>
          <w:color w:val="000000" w:themeColor="text1"/>
          <w:sz w:val="28"/>
          <w:szCs w:val="28"/>
        </w:rPr>
        <w:t xml:space="preserve"> и пневматических силовых установок и двигателей </w:t>
      </w:r>
      <w:r w:rsidRPr="006F07ED">
        <w:rPr>
          <w:color w:val="000000" w:themeColor="text1"/>
          <w:sz w:val="28"/>
          <w:szCs w:val="28"/>
        </w:rPr>
        <w:t xml:space="preserve"> – </w:t>
      </w:r>
      <w:r w:rsidR="00FC19D2" w:rsidRPr="006F07ED">
        <w:rPr>
          <w:color w:val="000000" w:themeColor="text1"/>
          <w:sz w:val="28"/>
          <w:szCs w:val="28"/>
        </w:rPr>
        <w:t>в 1,</w:t>
      </w:r>
      <w:r w:rsidR="006775CB" w:rsidRPr="006F07ED">
        <w:rPr>
          <w:color w:val="000000" w:themeColor="text1"/>
          <w:sz w:val="28"/>
          <w:szCs w:val="28"/>
        </w:rPr>
        <w:t>24</w:t>
      </w:r>
      <w:r w:rsidR="00FC19D2" w:rsidRPr="006F07ED">
        <w:rPr>
          <w:color w:val="000000" w:themeColor="text1"/>
          <w:sz w:val="28"/>
          <w:szCs w:val="28"/>
        </w:rPr>
        <w:t xml:space="preserve"> раза</w:t>
      </w:r>
      <w:r w:rsidRPr="006F07ED">
        <w:rPr>
          <w:color w:val="000000" w:themeColor="text1"/>
          <w:sz w:val="28"/>
          <w:szCs w:val="28"/>
        </w:rPr>
        <w:t xml:space="preserve">, </w:t>
      </w:r>
      <w:r w:rsidR="00795062" w:rsidRPr="006F07ED">
        <w:rPr>
          <w:color w:val="000000" w:themeColor="text1"/>
          <w:sz w:val="28"/>
          <w:szCs w:val="28"/>
        </w:rPr>
        <w:t xml:space="preserve">оборудования вспомогательного для использования вместе с паровыми котлами, </w:t>
      </w:r>
      <w:proofErr w:type="spellStart"/>
      <w:r w:rsidR="00795062" w:rsidRPr="006F07ED">
        <w:rPr>
          <w:color w:val="000000" w:themeColor="text1"/>
          <w:sz w:val="28"/>
          <w:szCs w:val="28"/>
        </w:rPr>
        <w:t>пароводогрейными</w:t>
      </w:r>
      <w:proofErr w:type="spellEnd"/>
      <w:r w:rsidR="00795062" w:rsidRPr="006F07ED">
        <w:rPr>
          <w:color w:val="000000" w:themeColor="text1"/>
          <w:sz w:val="28"/>
          <w:szCs w:val="28"/>
        </w:rPr>
        <w:t xml:space="preserve"> </w:t>
      </w:r>
      <w:r w:rsidR="00A63779" w:rsidRPr="006F07ED">
        <w:rPr>
          <w:color w:val="000000" w:themeColor="text1"/>
          <w:sz w:val="28"/>
          <w:szCs w:val="28"/>
        </w:rPr>
        <w:t xml:space="preserve"> </w:t>
      </w:r>
      <w:r w:rsidR="00795062" w:rsidRPr="006F07ED">
        <w:rPr>
          <w:color w:val="000000" w:themeColor="text1"/>
          <w:sz w:val="28"/>
          <w:szCs w:val="28"/>
        </w:rPr>
        <w:t>ко</w:t>
      </w:r>
      <w:r w:rsidR="006333D0" w:rsidRPr="006F07ED">
        <w:rPr>
          <w:color w:val="000000" w:themeColor="text1"/>
          <w:sz w:val="28"/>
          <w:szCs w:val="28"/>
        </w:rPr>
        <w:t>т</w:t>
      </w:r>
      <w:r w:rsidR="00795062" w:rsidRPr="006F07ED">
        <w:rPr>
          <w:color w:val="000000" w:themeColor="text1"/>
          <w:sz w:val="28"/>
          <w:szCs w:val="28"/>
        </w:rPr>
        <w:t>лами</w:t>
      </w:r>
      <w:r w:rsidR="006333D0" w:rsidRPr="006F07ED">
        <w:rPr>
          <w:color w:val="000000" w:themeColor="text1"/>
          <w:sz w:val="28"/>
          <w:szCs w:val="28"/>
        </w:rPr>
        <w:t>,</w:t>
      </w:r>
      <w:r w:rsidR="00A63779" w:rsidRPr="006F07ED">
        <w:rPr>
          <w:color w:val="000000" w:themeColor="text1"/>
          <w:sz w:val="28"/>
          <w:szCs w:val="28"/>
        </w:rPr>
        <w:t xml:space="preserve"> </w:t>
      </w:r>
      <w:r w:rsidR="006333D0" w:rsidRPr="006F07ED">
        <w:rPr>
          <w:color w:val="000000" w:themeColor="text1"/>
          <w:sz w:val="28"/>
          <w:szCs w:val="28"/>
        </w:rPr>
        <w:t>к</w:t>
      </w:r>
      <w:r w:rsidR="00795062" w:rsidRPr="006F07ED">
        <w:rPr>
          <w:color w:val="000000" w:themeColor="text1"/>
          <w:sz w:val="28"/>
          <w:szCs w:val="28"/>
        </w:rPr>
        <w:t>отлами, работающими с высокотемпературными органическими теплоносителями, водогрейными котлами централизованного отопления, конденсаторы для пароводяных или паросиловых установок</w:t>
      </w:r>
      <w:r w:rsidR="006775CB" w:rsidRPr="006F07ED">
        <w:rPr>
          <w:color w:val="000000" w:themeColor="text1"/>
          <w:sz w:val="28"/>
          <w:szCs w:val="28"/>
        </w:rPr>
        <w:t xml:space="preserve"> </w:t>
      </w:r>
      <w:r w:rsidR="006F1B1E" w:rsidRPr="006F07ED">
        <w:rPr>
          <w:color w:val="000000" w:themeColor="text1"/>
          <w:sz w:val="28"/>
          <w:szCs w:val="28"/>
        </w:rPr>
        <w:t>–</w:t>
      </w:r>
      <w:r w:rsidR="006775CB" w:rsidRPr="006F07ED">
        <w:rPr>
          <w:color w:val="000000" w:themeColor="text1"/>
          <w:sz w:val="28"/>
          <w:szCs w:val="28"/>
        </w:rPr>
        <w:t xml:space="preserve"> </w:t>
      </w:r>
      <w:r w:rsidR="00795062" w:rsidRPr="006F07ED">
        <w:rPr>
          <w:color w:val="000000" w:themeColor="text1"/>
          <w:sz w:val="28"/>
          <w:szCs w:val="28"/>
        </w:rPr>
        <w:t>на 12%</w:t>
      </w:r>
      <w:r w:rsidR="006F1B1E" w:rsidRPr="006F07ED">
        <w:rPr>
          <w:color w:val="000000" w:themeColor="text1"/>
          <w:sz w:val="28"/>
          <w:szCs w:val="28"/>
        </w:rPr>
        <w:t>.</w:t>
      </w:r>
    </w:p>
    <w:p w:rsidR="0067159A" w:rsidRPr="006F07ED" w:rsidRDefault="00A0462A" w:rsidP="00795062">
      <w:pPr>
        <w:pStyle w:val="a7"/>
        <w:spacing w:before="0" w:beforeAutospacing="0" w:after="0" w:afterAutospacing="0" w:line="360" w:lineRule="auto"/>
        <w:ind w:left="-340" w:firstLine="708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>Р</w:t>
      </w:r>
      <w:r w:rsidR="0067159A" w:rsidRPr="006F07ED">
        <w:rPr>
          <w:color w:val="000000" w:themeColor="text1"/>
          <w:sz w:val="28"/>
          <w:szCs w:val="28"/>
        </w:rPr>
        <w:t>ост производства посуды столовой и кухонной, предметов домашнего обихода и предметов туалета из полимерных материалов составил</w:t>
      </w:r>
      <w:r w:rsidR="00EE2F82" w:rsidRPr="006F07ED">
        <w:rPr>
          <w:color w:val="000000" w:themeColor="text1"/>
          <w:sz w:val="28"/>
          <w:szCs w:val="28"/>
        </w:rPr>
        <w:t xml:space="preserve"> </w:t>
      </w:r>
      <w:r w:rsidRPr="006F07ED">
        <w:rPr>
          <w:color w:val="000000" w:themeColor="text1"/>
          <w:sz w:val="28"/>
          <w:szCs w:val="28"/>
        </w:rPr>
        <w:t>104,1</w:t>
      </w:r>
      <w:r w:rsidR="00EE2F82" w:rsidRPr="006F07ED">
        <w:rPr>
          <w:color w:val="000000" w:themeColor="text1"/>
          <w:sz w:val="28"/>
          <w:szCs w:val="28"/>
        </w:rPr>
        <w:t>%,</w:t>
      </w:r>
      <w:r w:rsidR="0067159A" w:rsidRPr="006F07ED">
        <w:rPr>
          <w:color w:val="000000" w:themeColor="text1"/>
          <w:sz w:val="28"/>
          <w:szCs w:val="28"/>
        </w:rPr>
        <w:t xml:space="preserve"> </w:t>
      </w:r>
      <w:r w:rsidR="00EE2F82" w:rsidRPr="006F07ED">
        <w:rPr>
          <w:color w:val="000000" w:themeColor="text1"/>
          <w:sz w:val="28"/>
          <w:szCs w:val="28"/>
        </w:rPr>
        <w:t xml:space="preserve">бутылей, бутылок, флаконов и аналогичных изделий из полимеров – </w:t>
      </w:r>
      <w:r w:rsidRPr="006F07ED">
        <w:rPr>
          <w:color w:val="000000" w:themeColor="text1"/>
          <w:sz w:val="28"/>
          <w:szCs w:val="28"/>
        </w:rPr>
        <w:t>113,6</w:t>
      </w:r>
      <w:r w:rsidR="00EE2F82" w:rsidRPr="006F07ED">
        <w:rPr>
          <w:color w:val="000000" w:themeColor="text1"/>
          <w:sz w:val="28"/>
          <w:szCs w:val="28"/>
        </w:rPr>
        <w:t>%</w:t>
      </w:r>
      <w:r w:rsidRPr="006F07ED">
        <w:rPr>
          <w:color w:val="000000" w:themeColor="text1"/>
          <w:sz w:val="28"/>
          <w:szCs w:val="28"/>
        </w:rPr>
        <w:t>, материалов полимерных  для покрытий пола, стен и потолка в рулонах или форме плиток – в 1,8 раза</w:t>
      </w:r>
      <w:r w:rsidR="00EE2F82" w:rsidRPr="006F07ED">
        <w:rPr>
          <w:color w:val="000000" w:themeColor="text1"/>
          <w:sz w:val="28"/>
          <w:szCs w:val="28"/>
        </w:rPr>
        <w:t>.</w:t>
      </w:r>
    </w:p>
    <w:p w:rsidR="00953432" w:rsidRPr="006F07ED" w:rsidRDefault="00795062" w:rsidP="00795062">
      <w:pPr>
        <w:pStyle w:val="a7"/>
        <w:spacing w:before="0" w:beforeAutospacing="0" w:after="0" w:afterAutospacing="0" w:line="360" w:lineRule="auto"/>
        <w:ind w:left="-340" w:firstLine="708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>В течение 2016 года</w:t>
      </w:r>
      <w:r w:rsidR="00953432" w:rsidRPr="006F07ED">
        <w:rPr>
          <w:color w:val="000000" w:themeColor="text1"/>
          <w:sz w:val="28"/>
          <w:szCs w:val="28"/>
        </w:rPr>
        <w:t xml:space="preserve">  произведено</w:t>
      </w:r>
      <w:r w:rsidRPr="006F07ED">
        <w:rPr>
          <w:color w:val="000000" w:themeColor="text1"/>
          <w:sz w:val="28"/>
          <w:szCs w:val="28"/>
        </w:rPr>
        <w:t xml:space="preserve">18,8 тонн кондитерских изделий или 182,8% к уровню 2015 года, 67,8 тонн мясных и </w:t>
      </w:r>
      <w:proofErr w:type="spellStart"/>
      <w:r w:rsidRPr="006F07ED">
        <w:rPr>
          <w:color w:val="000000" w:themeColor="text1"/>
          <w:sz w:val="28"/>
          <w:szCs w:val="28"/>
        </w:rPr>
        <w:t>мясо</w:t>
      </w:r>
      <w:r w:rsidR="00F836D8" w:rsidRPr="006F07ED">
        <w:rPr>
          <w:color w:val="000000" w:themeColor="text1"/>
          <w:sz w:val="28"/>
          <w:szCs w:val="28"/>
        </w:rPr>
        <w:t>со</w:t>
      </w:r>
      <w:r w:rsidRPr="006F07ED">
        <w:rPr>
          <w:color w:val="000000" w:themeColor="text1"/>
          <w:sz w:val="28"/>
          <w:szCs w:val="28"/>
        </w:rPr>
        <w:t>держащих</w:t>
      </w:r>
      <w:proofErr w:type="spellEnd"/>
      <w:r w:rsidRPr="006F07ED">
        <w:rPr>
          <w:color w:val="000000" w:themeColor="text1"/>
          <w:sz w:val="28"/>
          <w:szCs w:val="28"/>
        </w:rPr>
        <w:t xml:space="preserve"> подмороженных и замороженных полуфабрикатов или 156,9%, </w:t>
      </w:r>
      <w:r w:rsidR="00953432" w:rsidRPr="006F07ED">
        <w:rPr>
          <w:color w:val="000000" w:themeColor="text1"/>
          <w:sz w:val="28"/>
          <w:szCs w:val="28"/>
        </w:rPr>
        <w:t xml:space="preserve">  </w:t>
      </w:r>
      <w:r w:rsidRPr="006F07ED">
        <w:rPr>
          <w:color w:val="000000" w:themeColor="text1"/>
          <w:sz w:val="28"/>
          <w:szCs w:val="28"/>
        </w:rPr>
        <w:t>1038,9</w:t>
      </w:r>
      <w:r w:rsidR="00953432" w:rsidRPr="006F07ED">
        <w:rPr>
          <w:color w:val="000000" w:themeColor="text1"/>
          <w:sz w:val="28"/>
          <w:szCs w:val="28"/>
        </w:rPr>
        <w:t xml:space="preserve">  тонн колбасных изделий, что на </w:t>
      </w:r>
      <w:r w:rsidRPr="006F07ED">
        <w:rPr>
          <w:color w:val="000000" w:themeColor="text1"/>
          <w:sz w:val="28"/>
          <w:szCs w:val="28"/>
        </w:rPr>
        <w:t>0,3</w:t>
      </w:r>
      <w:r w:rsidR="00953432" w:rsidRPr="006F07ED">
        <w:rPr>
          <w:color w:val="000000" w:themeColor="text1"/>
          <w:sz w:val="28"/>
          <w:szCs w:val="28"/>
        </w:rPr>
        <w:t>% превышает показатель   201</w:t>
      </w:r>
      <w:r w:rsidRPr="006F07ED">
        <w:rPr>
          <w:color w:val="000000" w:themeColor="text1"/>
          <w:sz w:val="28"/>
          <w:szCs w:val="28"/>
        </w:rPr>
        <w:t>5</w:t>
      </w:r>
      <w:r w:rsidR="00953432" w:rsidRPr="006F07ED">
        <w:rPr>
          <w:color w:val="000000" w:themeColor="text1"/>
          <w:sz w:val="28"/>
          <w:szCs w:val="28"/>
        </w:rPr>
        <w:t xml:space="preserve"> года.</w:t>
      </w:r>
    </w:p>
    <w:p w:rsidR="00953432" w:rsidRPr="006F07ED" w:rsidRDefault="00953432" w:rsidP="00953432">
      <w:pPr>
        <w:pStyle w:val="a7"/>
        <w:spacing w:before="0" w:beforeAutospacing="0" w:after="0" w:afterAutospacing="0" w:line="360" w:lineRule="auto"/>
        <w:ind w:left="-283" w:firstLine="708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Вместе с тем снизились  объемы  выпуска  продукции  в производстве  электрооборудования  (индекс промышленного производства  –  36,0%),  что связано  с  отрицательной  динамикой  производства электродвигателей мощностью не более 37,5Вт  (12,2% к январю-сентябрю 2014 года), электродвигателей универсальных мощностью более 37,5 Вт (32,3%), приборов освещения и световой сигнализации, стеклоочистителей (72,4%).          </w:t>
      </w:r>
    </w:p>
    <w:p w:rsidR="00953432" w:rsidRPr="006F07ED" w:rsidRDefault="00953432" w:rsidP="00953432">
      <w:pPr>
        <w:pStyle w:val="a7"/>
        <w:spacing w:before="0" w:beforeAutospacing="0" w:after="0" w:afterAutospacing="0" w:line="360" w:lineRule="auto"/>
        <w:ind w:left="-283" w:firstLine="708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 При  этом значительно возросло производство  приборов  и инструментов навигационных, метеорологических, геодезических, геофизических на 10,6%.</w:t>
      </w:r>
    </w:p>
    <w:p w:rsidR="00953432" w:rsidRPr="006F07ED" w:rsidRDefault="00953432" w:rsidP="00ED397C">
      <w:pPr>
        <w:pStyle w:val="a7"/>
        <w:spacing w:before="0" w:beforeAutospacing="0" w:after="0" w:afterAutospacing="0" w:line="360" w:lineRule="auto"/>
        <w:ind w:left="-363" w:firstLine="708"/>
        <w:jc w:val="both"/>
        <w:rPr>
          <w:color w:val="000000" w:themeColor="text1"/>
          <w:sz w:val="28"/>
          <w:szCs w:val="28"/>
        </w:rPr>
      </w:pPr>
    </w:p>
    <w:p w:rsidR="0067159A" w:rsidRPr="006F07ED" w:rsidRDefault="0067159A" w:rsidP="00ED397C">
      <w:pPr>
        <w:pStyle w:val="a7"/>
        <w:spacing w:before="0" w:beforeAutospacing="0" w:after="0" w:afterAutospacing="0" w:line="360" w:lineRule="auto"/>
        <w:ind w:left="-363"/>
        <w:jc w:val="both"/>
        <w:rPr>
          <w:b/>
          <w:color w:val="000000" w:themeColor="text1"/>
          <w:sz w:val="28"/>
          <w:szCs w:val="28"/>
        </w:rPr>
      </w:pPr>
      <w:r w:rsidRPr="006F07ED">
        <w:rPr>
          <w:b/>
          <w:iCs/>
          <w:color w:val="000000" w:themeColor="text1"/>
          <w:sz w:val="28"/>
          <w:szCs w:val="28"/>
        </w:rPr>
        <w:lastRenderedPageBreak/>
        <w:t>Производство и распределение электроэнергии, газа и воды</w:t>
      </w:r>
      <w:r w:rsidRPr="006F07ED">
        <w:rPr>
          <w:b/>
          <w:color w:val="000000" w:themeColor="text1"/>
          <w:sz w:val="28"/>
          <w:szCs w:val="28"/>
        </w:rPr>
        <w:t xml:space="preserve"> </w:t>
      </w:r>
    </w:p>
    <w:p w:rsidR="00CD30FD" w:rsidRPr="006F07ED" w:rsidRDefault="0067159A" w:rsidP="00ED397C">
      <w:pPr>
        <w:spacing w:after="0" w:line="360" w:lineRule="auto"/>
        <w:ind w:left="-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174E1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отчетном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174E1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у предприятиями данного вида экономической деятельности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4E1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произведено продукции  в объеме 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97B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1004,8</w:t>
      </w:r>
      <w:r w:rsidR="00807232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r w:rsidR="00396F68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F04476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497B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97B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96,8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33497B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предыдущему году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74E1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Выработано 0,07 </w:t>
      </w:r>
      <w:r w:rsidR="00A63779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</w:t>
      </w:r>
      <w:proofErr w:type="spellStart"/>
      <w:proofErr w:type="gramStart"/>
      <w:r w:rsidR="00A63779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гВт.ч</w:t>
      </w:r>
      <w:proofErr w:type="spellEnd"/>
      <w:r w:rsidR="00A63779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4E1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электроэнергии</w:t>
      </w:r>
      <w:proofErr w:type="gramEnd"/>
      <w:r w:rsidR="00F04476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74E1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77,8% к уровню 2015 года,648 </w:t>
      </w:r>
      <w:r w:rsidR="00A63779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тыс. Гкал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тепловой энергии </w:t>
      </w:r>
      <w:r w:rsidR="004174E1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, или 98,9% к уровню 2015 года</w:t>
      </w:r>
      <w:r w:rsidR="00396F68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74E1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Основная часть тепловой энергии </w:t>
      </w:r>
      <w:r w:rsidR="00F04476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93,8% производится предприятием ОАО «Октябрьсктеплоэнерго». </w:t>
      </w:r>
    </w:p>
    <w:p w:rsidR="00D777FD" w:rsidRPr="006F07ED" w:rsidRDefault="004D25E9" w:rsidP="00AD2957">
      <w:pPr>
        <w:spacing w:after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color w:val="000000" w:themeColor="text1"/>
          <w:sz w:val="28"/>
          <w:szCs w:val="28"/>
        </w:rPr>
        <w:t xml:space="preserve">  </w:t>
      </w:r>
      <w:proofErr w:type="gramStart"/>
      <w:r w:rsidR="00D777FD" w:rsidRPr="006F07ED">
        <w:rPr>
          <w:rFonts w:ascii="Times New Roman" w:hAnsi="Times New Roman"/>
          <w:b/>
          <w:color w:val="000000" w:themeColor="text1"/>
          <w:sz w:val="27"/>
          <w:szCs w:val="27"/>
        </w:rPr>
        <w:t>Индекс  промышленного</w:t>
      </w:r>
      <w:proofErr w:type="gramEnd"/>
      <w:r w:rsidR="00D777FD" w:rsidRPr="006F07E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производства в производстве и распределении </w:t>
      </w:r>
    </w:p>
    <w:p w:rsidR="00D777FD" w:rsidRPr="006F07ED" w:rsidRDefault="00D777FD" w:rsidP="00AD2957">
      <w:pPr>
        <w:spacing w:after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>электроэнергии, газа и воды</w:t>
      </w:r>
    </w:p>
    <w:p w:rsidR="00D777FD" w:rsidRPr="006F07ED" w:rsidRDefault="00D777FD" w:rsidP="00AD2957">
      <w:pPr>
        <w:spacing w:after="0"/>
        <w:ind w:left="2124" w:firstLine="708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F07ED">
        <w:rPr>
          <w:rFonts w:ascii="Times New Roman" w:hAnsi="Times New Roman"/>
          <w:color w:val="000000" w:themeColor="text1"/>
          <w:sz w:val="26"/>
          <w:szCs w:val="26"/>
        </w:rPr>
        <w:t>(в % к предыдущему году)</w:t>
      </w:r>
    </w:p>
    <w:p w:rsidR="00D777FD" w:rsidRPr="006F07ED" w:rsidRDefault="00AD2957" w:rsidP="00D777F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13970</wp:posOffset>
            </wp:positionV>
            <wp:extent cx="3981450" cy="2296795"/>
            <wp:effectExtent l="0" t="0" r="0" b="0"/>
            <wp:wrapSquare wrapText="right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7FD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777FD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777FD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777FD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777FD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777FD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777FD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777FD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D777FD" w:rsidRPr="006F07ED" w:rsidRDefault="00D777FD" w:rsidP="00D777F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777FD" w:rsidRPr="006F07ED" w:rsidRDefault="00D777FD" w:rsidP="00D777F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2957" w:rsidRPr="006F07ED" w:rsidRDefault="004D25E9" w:rsidP="00CC3D9A">
      <w:pPr>
        <w:pStyle w:val="a7"/>
        <w:spacing w:before="0" w:beforeAutospacing="0" w:after="0" w:afterAutospacing="0" w:line="360" w:lineRule="auto"/>
        <w:ind w:left="-363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 </w:t>
      </w:r>
      <w:r w:rsidR="00CC3D9A" w:rsidRPr="006F07ED">
        <w:rPr>
          <w:color w:val="000000" w:themeColor="text1"/>
          <w:sz w:val="28"/>
          <w:szCs w:val="28"/>
        </w:rPr>
        <w:t xml:space="preserve"> </w:t>
      </w:r>
      <w:r w:rsidR="006672DE" w:rsidRPr="006F07ED">
        <w:rPr>
          <w:color w:val="000000" w:themeColor="text1"/>
          <w:sz w:val="28"/>
          <w:szCs w:val="28"/>
        </w:rPr>
        <w:t xml:space="preserve">   </w:t>
      </w:r>
    </w:p>
    <w:p w:rsidR="00AD2957" w:rsidRPr="006F07ED" w:rsidRDefault="00AD2957" w:rsidP="00CC3D9A">
      <w:pPr>
        <w:pStyle w:val="a7"/>
        <w:spacing w:before="0" w:beforeAutospacing="0" w:after="0" w:afterAutospacing="0" w:line="360" w:lineRule="auto"/>
        <w:ind w:left="-363"/>
        <w:jc w:val="both"/>
        <w:rPr>
          <w:color w:val="000000" w:themeColor="text1"/>
          <w:sz w:val="28"/>
          <w:szCs w:val="28"/>
        </w:rPr>
      </w:pPr>
    </w:p>
    <w:p w:rsidR="00CC3D9A" w:rsidRPr="006F07ED" w:rsidRDefault="00CC3D9A" w:rsidP="00AD2957">
      <w:pPr>
        <w:pStyle w:val="a7"/>
        <w:spacing w:before="0" w:beforeAutospacing="0" w:after="0" w:afterAutospacing="0" w:line="360" w:lineRule="auto"/>
        <w:ind w:left="-363" w:firstLine="1071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За январь - </w:t>
      </w:r>
      <w:proofErr w:type="gramStart"/>
      <w:r w:rsidR="000B2A09" w:rsidRPr="006F07ED">
        <w:rPr>
          <w:color w:val="000000" w:themeColor="text1"/>
          <w:sz w:val="28"/>
          <w:szCs w:val="28"/>
        </w:rPr>
        <w:t>дека</w:t>
      </w:r>
      <w:r w:rsidRPr="006F07ED">
        <w:rPr>
          <w:color w:val="000000" w:themeColor="text1"/>
          <w:sz w:val="28"/>
          <w:szCs w:val="28"/>
        </w:rPr>
        <w:t>брь  201</w:t>
      </w:r>
      <w:r w:rsidR="000B2A09" w:rsidRPr="006F07ED">
        <w:rPr>
          <w:color w:val="000000" w:themeColor="text1"/>
          <w:sz w:val="28"/>
          <w:szCs w:val="28"/>
        </w:rPr>
        <w:t>6</w:t>
      </w:r>
      <w:proofErr w:type="gramEnd"/>
      <w:r w:rsidRPr="006F07ED">
        <w:rPr>
          <w:color w:val="000000" w:themeColor="text1"/>
          <w:sz w:val="28"/>
          <w:szCs w:val="28"/>
        </w:rPr>
        <w:t xml:space="preserve"> года крупными  и средними  предприятиями</w:t>
      </w:r>
      <w:r w:rsidR="000B2A09" w:rsidRPr="006F07ED">
        <w:rPr>
          <w:color w:val="000000" w:themeColor="text1"/>
          <w:sz w:val="28"/>
          <w:szCs w:val="28"/>
        </w:rPr>
        <w:t xml:space="preserve">  промышленности отгружено товаров собственного производства</w:t>
      </w:r>
      <w:r w:rsidR="00BC3D70" w:rsidRPr="006F07ED">
        <w:rPr>
          <w:color w:val="000000" w:themeColor="text1"/>
          <w:sz w:val="28"/>
          <w:szCs w:val="28"/>
        </w:rPr>
        <w:t xml:space="preserve">, выполнено работ и услуг </w:t>
      </w:r>
      <w:r w:rsidRPr="006F07ED">
        <w:rPr>
          <w:color w:val="000000" w:themeColor="text1"/>
          <w:sz w:val="28"/>
          <w:szCs w:val="28"/>
        </w:rPr>
        <w:t xml:space="preserve"> на </w:t>
      </w:r>
      <w:r w:rsidR="000B2A09" w:rsidRPr="006F07ED">
        <w:rPr>
          <w:color w:val="000000" w:themeColor="text1"/>
          <w:sz w:val="28"/>
          <w:szCs w:val="28"/>
        </w:rPr>
        <w:t>23,5</w:t>
      </w:r>
      <w:r w:rsidRPr="006F07ED">
        <w:rPr>
          <w:color w:val="000000" w:themeColor="text1"/>
          <w:sz w:val="28"/>
          <w:szCs w:val="28"/>
        </w:rPr>
        <w:t xml:space="preserve"> млрд. рублей, что на </w:t>
      </w:r>
      <w:r w:rsidR="000B2A09" w:rsidRPr="006F07ED">
        <w:rPr>
          <w:color w:val="000000" w:themeColor="text1"/>
          <w:sz w:val="28"/>
          <w:szCs w:val="28"/>
        </w:rPr>
        <w:t>8,8</w:t>
      </w:r>
      <w:r w:rsidRPr="006F07ED">
        <w:rPr>
          <w:color w:val="000000" w:themeColor="text1"/>
          <w:sz w:val="28"/>
          <w:szCs w:val="28"/>
        </w:rPr>
        <w:t>% больше по сравнению с    201</w:t>
      </w:r>
      <w:r w:rsidR="000B2A09" w:rsidRPr="006F07ED">
        <w:rPr>
          <w:color w:val="000000" w:themeColor="text1"/>
          <w:sz w:val="28"/>
          <w:szCs w:val="28"/>
        </w:rPr>
        <w:t>5</w:t>
      </w:r>
      <w:r w:rsidRPr="006F07ED">
        <w:rPr>
          <w:color w:val="000000" w:themeColor="text1"/>
          <w:sz w:val="28"/>
          <w:szCs w:val="28"/>
        </w:rPr>
        <w:t xml:space="preserve"> год</w:t>
      </w:r>
      <w:r w:rsidR="000B2A09" w:rsidRPr="006F07ED">
        <w:rPr>
          <w:color w:val="000000" w:themeColor="text1"/>
          <w:sz w:val="28"/>
          <w:szCs w:val="28"/>
        </w:rPr>
        <w:t>ом</w:t>
      </w:r>
      <w:r w:rsidRPr="006F07ED">
        <w:rPr>
          <w:color w:val="000000" w:themeColor="text1"/>
          <w:sz w:val="28"/>
          <w:szCs w:val="28"/>
        </w:rPr>
        <w:t xml:space="preserve">.  </w:t>
      </w:r>
    </w:p>
    <w:p w:rsidR="00CA48D0" w:rsidRPr="006F07ED" w:rsidRDefault="00CA48D0" w:rsidP="00AD2957">
      <w:pPr>
        <w:spacing w:after="0"/>
        <w:ind w:left="-363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>Объем отгруженных товаров</w:t>
      </w:r>
    </w:p>
    <w:p w:rsidR="00CA48D0" w:rsidRPr="006F07ED" w:rsidRDefault="00CA48D0" w:rsidP="00AD2957">
      <w:pPr>
        <w:spacing w:after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>промышленными предприятиями</w:t>
      </w:r>
    </w:p>
    <w:p w:rsidR="00CA48D0" w:rsidRPr="006F07ED" w:rsidRDefault="00AD2957" w:rsidP="00AD2957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F07E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348615</wp:posOffset>
            </wp:positionV>
            <wp:extent cx="4296410" cy="2479040"/>
            <wp:effectExtent l="0" t="0" r="0" b="0"/>
            <wp:wrapSquare wrapText="right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8D0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A48D0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A48D0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A48D0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A48D0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A48D0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A48D0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A48D0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A48D0"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A48D0" w:rsidRPr="006F07ED">
        <w:rPr>
          <w:rFonts w:ascii="Times New Roman" w:hAnsi="Times New Roman"/>
          <w:color w:val="000000" w:themeColor="text1"/>
          <w:sz w:val="26"/>
          <w:szCs w:val="26"/>
        </w:rPr>
        <w:t>(млн. рублей)</w:t>
      </w:r>
    </w:p>
    <w:p w:rsidR="00CA48D0" w:rsidRPr="006F07ED" w:rsidRDefault="00CA48D0" w:rsidP="00CA4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A48D0" w:rsidRPr="006F07ED" w:rsidRDefault="00CA48D0" w:rsidP="00CA48D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48D0" w:rsidRPr="006F07ED" w:rsidRDefault="00CA48D0" w:rsidP="00CA48D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48D0" w:rsidRPr="006F07ED" w:rsidRDefault="00CA48D0" w:rsidP="00CA48D0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48D0" w:rsidRPr="006F07ED" w:rsidRDefault="00CA48D0" w:rsidP="00CA48D0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23EC7" w:rsidRPr="006F07ED" w:rsidRDefault="00AD2957" w:rsidP="00AD2957">
      <w:pPr>
        <w:spacing w:after="0" w:line="360" w:lineRule="auto"/>
        <w:ind w:left="-363"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proofErr w:type="gramStart"/>
      <w:r w:rsidR="00823EC7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Для  городского</w:t>
      </w:r>
      <w:proofErr w:type="gramEnd"/>
      <w:r w:rsidR="00823EC7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  в  структуре  отгруженной  промышленной продукции  характерна  значительная  доля  обрабатывающих производств  (</w:t>
      </w:r>
      <w:r w:rsidR="000B2A09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5F1472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,2</w:t>
      </w:r>
      <w:r w:rsidR="00823EC7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 объем  отгруженной  продукции  по  виду деятельности  «Обрабатывающие  производства»  вырос  на  </w:t>
      </w:r>
      <w:r w:rsidR="000B2A09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7,8</w:t>
      </w:r>
      <w:r w:rsidR="00823EC7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% и составил</w:t>
      </w:r>
      <w:r w:rsidR="000B2A09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16,97</w:t>
      </w:r>
      <w:r w:rsidR="00823EC7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млрд. рублей.</w:t>
      </w:r>
    </w:p>
    <w:p w:rsidR="009A7537" w:rsidRPr="006F07ED" w:rsidRDefault="009A7537" w:rsidP="00AD2957">
      <w:pPr>
        <w:spacing w:after="0" w:line="360" w:lineRule="auto"/>
        <w:ind w:left="-363"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0EE" w:rsidRPr="006F07ED" w:rsidRDefault="00B460EE" w:rsidP="00AD2957">
      <w:pPr>
        <w:spacing w:after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>Структура отгруженных товаров собственного производства,</w:t>
      </w:r>
    </w:p>
    <w:p w:rsidR="00B460EE" w:rsidRPr="006F07ED" w:rsidRDefault="00B460EE" w:rsidP="00AD2957">
      <w:pPr>
        <w:spacing w:after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 xml:space="preserve">выполненных работ и услуг </w:t>
      </w:r>
    </w:p>
    <w:p w:rsidR="00B460EE" w:rsidRPr="006F07ED" w:rsidRDefault="00B460EE" w:rsidP="00AD2957">
      <w:pPr>
        <w:spacing w:after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 xml:space="preserve">по видам экономической деятельности в 2016 году </w:t>
      </w:r>
    </w:p>
    <w:p w:rsidR="00B460EE" w:rsidRPr="006F07ED" w:rsidRDefault="00B460EE" w:rsidP="00B460EE">
      <w:pPr>
        <w:spacing w:after="0" w:line="360" w:lineRule="auto"/>
        <w:ind w:left="-36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43575" cy="2705100"/>
            <wp:effectExtent l="0" t="0" r="0" b="0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4D7D" w:rsidRPr="006F07ED" w:rsidRDefault="00C56E1F" w:rsidP="00823EC7">
      <w:pPr>
        <w:spacing w:after="0" w:line="360" w:lineRule="auto"/>
        <w:ind w:left="-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Объем отгруженных товаров собственного производства, выполненных работ и услуг собственными силами</w:t>
      </w:r>
      <w:r w:rsidR="000B2A09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предприятиях по добыче полезных ископаемых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превысил </w:t>
      </w:r>
      <w:r w:rsidR="000B2A09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5,4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млрд. рублей и увеличился относительно января-</w:t>
      </w:r>
      <w:r w:rsidR="000B2A09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бря 201</w:t>
      </w:r>
      <w:r w:rsidR="000B2A09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0B2A09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на 11,7%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581F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6E1F" w:rsidRPr="006F07ED" w:rsidRDefault="00F667DF" w:rsidP="004A1D1F">
      <w:pPr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E581F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Предприятиями по производству и распределению электроэнергии, газа и воды отгружено товаров собственного производства на сумму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1098,4</w:t>
      </w:r>
      <w:r w:rsidR="000E581F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что составляет 1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10,6</w:t>
      </w:r>
      <w:r w:rsidR="000E581F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% к  прошло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0E581F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E581F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56E1F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96328" w:rsidRPr="006F07ED" w:rsidRDefault="00A96328" w:rsidP="004A1D1F">
      <w:pPr>
        <w:spacing w:after="0" w:line="360" w:lineRule="auto"/>
        <w:ind w:left="-34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Потребительский рынок</w:t>
      </w:r>
    </w:p>
    <w:p w:rsidR="00A96328" w:rsidRPr="006F07ED" w:rsidRDefault="00A96328" w:rsidP="004A1D1F">
      <w:pPr>
        <w:spacing w:after="0" w:line="360" w:lineRule="auto"/>
        <w:ind w:left="-3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Развитие потребительского рынка и, прежде всего, розничной торговли является одним  из  индикаторов  состояния  экономики.  Потребительский  рынок  выполняет важные  экономические  и  социальные  функции,  в  том  числе  по  поддержанию достойного уровня жизни населения, занятости, </w:t>
      </w:r>
      <w:r w:rsidRPr="006F07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развитию малого бизнеса и ряда других задач по обеспечению макроэкономической стабильности городского округа.</w:t>
      </w:r>
    </w:p>
    <w:p w:rsidR="00A96328" w:rsidRPr="006F07ED" w:rsidRDefault="00A96328" w:rsidP="004A1D1F">
      <w:pPr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В отчетном году бизнес сферы торговли и услуг вынужден жить в условиях продолжающегося кризиса.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Значительное влияние на развитие потребительского рынка городского округа оказывали  замедление  роста   среднемесячной заработной платы, нарастание инфляционных процессов, снижение доступности  потребительского кредитования.</w:t>
      </w:r>
    </w:p>
    <w:p w:rsidR="00F4200A" w:rsidRPr="006F07ED" w:rsidRDefault="00F4200A" w:rsidP="00F4200A">
      <w:pPr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Оборот розничной торговли превысил уровень   прошлого года на 0,1% и сложился в сумме 31,4 млрд. рублей. В структуре формирования этого показателя доля оборота рынков составляет 2,7%, оборота индивидуальных предпринимателей, торгующих вне рынка – 45,5%, доля оборота малых организаций – 30,8%, оборота крупных и средних предприятий всех отраслей экономики – 12,1%.</w:t>
      </w:r>
    </w:p>
    <w:p w:rsidR="001C132A" w:rsidRPr="006F07ED" w:rsidRDefault="001C132A" w:rsidP="00A963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6328" w:rsidRPr="006F07ED" w:rsidRDefault="00A96328" w:rsidP="00AD29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Оборот розничной торговли </w:t>
      </w:r>
    </w:p>
    <w:p w:rsidR="00A96328" w:rsidRPr="006F07ED" w:rsidRDefault="00A96328" w:rsidP="00AD29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и оборот общественного питания  </w:t>
      </w:r>
    </w:p>
    <w:p w:rsidR="00A96328" w:rsidRPr="006F07ED" w:rsidRDefault="00AD2957" w:rsidP="00AD2957">
      <w:pPr>
        <w:spacing w:after="0"/>
        <w:ind w:left="-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7ED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2096" behindDoc="0" locked="0" layoutInCell="1" allowOverlap="1" wp14:anchorId="09B5E802" wp14:editId="229238FF">
            <wp:simplePos x="0" y="0"/>
            <wp:positionH relativeFrom="column">
              <wp:posOffset>-165735</wp:posOffset>
            </wp:positionH>
            <wp:positionV relativeFrom="paragraph">
              <wp:posOffset>387350</wp:posOffset>
            </wp:positionV>
            <wp:extent cx="6022340" cy="3362325"/>
            <wp:effectExtent l="0" t="0" r="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328" w:rsidRPr="006F07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</w:t>
      </w:r>
      <w:r w:rsidR="00A96328" w:rsidRPr="006F07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A96328" w:rsidRPr="006F07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A96328" w:rsidRPr="006F07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A96328" w:rsidRPr="006F07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A96328" w:rsidRPr="006F07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A96328" w:rsidRPr="006F07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A96328" w:rsidRPr="006F07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A96328" w:rsidRPr="006F07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A96328" w:rsidRPr="006F07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A96328" w:rsidRPr="006F07ED">
        <w:rPr>
          <w:rFonts w:ascii="Times New Roman" w:hAnsi="Times New Roman" w:cs="Times New Roman"/>
          <w:b/>
          <w:color w:val="000000" w:themeColor="text1"/>
        </w:rPr>
        <w:tab/>
        <w:t xml:space="preserve"> </w:t>
      </w:r>
      <w:r w:rsidR="00A96328" w:rsidRPr="006F07ED">
        <w:rPr>
          <w:rFonts w:ascii="Times New Roman" w:hAnsi="Times New Roman" w:cs="Times New Roman"/>
          <w:color w:val="000000" w:themeColor="text1"/>
          <w:sz w:val="26"/>
          <w:szCs w:val="26"/>
        </w:rPr>
        <w:t>(млн. рублей)</w:t>
      </w:r>
    </w:p>
    <w:p w:rsidR="0072735A" w:rsidRPr="006F07ED" w:rsidRDefault="0072735A" w:rsidP="00AD2957">
      <w:pPr>
        <w:spacing w:after="0" w:line="360" w:lineRule="auto"/>
        <w:ind w:left="-283" w:firstLine="6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0EE" w:rsidRPr="006F07ED" w:rsidRDefault="00B460EE" w:rsidP="00AD2957">
      <w:pPr>
        <w:spacing w:after="0" w:line="360" w:lineRule="auto"/>
        <w:ind w:left="-283" w:firstLine="6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 расчете</w:t>
      </w:r>
      <w:proofErr w:type="gramEnd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душу населения городского округа оборот розничной торговли  за   2016 год составил  276066,9   рублей  (справочно:  2015 год – 259925,2  рублей).</w:t>
      </w:r>
    </w:p>
    <w:p w:rsidR="00A96328" w:rsidRPr="006F07ED" w:rsidRDefault="00A96328" w:rsidP="00AD2957">
      <w:pPr>
        <w:pStyle w:val="a7"/>
        <w:spacing w:before="0" w:beforeAutospacing="0" w:after="0" w:afterAutospacing="0" w:line="360" w:lineRule="auto"/>
        <w:ind w:left="-340" w:firstLine="708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На потребительском рынке товаров на территории городского округа действуют 902 предприятия торговли: 402 предприятия по реализации промышленных товаров, </w:t>
      </w:r>
      <w:proofErr w:type="gramStart"/>
      <w:r w:rsidRPr="006F07ED">
        <w:rPr>
          <w:color w:val="000000" w:themeColor="text1"/>
          <w:sz w:val="28"/>
          <w:szCs w:val="28"/>
        </w:rPr>
        <w:t>154  предприятия</w:t>
      </w:r>
      <w:proofErr w:type="gramEnd"/>
      <w:r w:rsidRPr="006F07ED">
        <w:rPr>
          <w:color w:val="000000" w:themeColor="text1"/>
          <w:sz w:val="28"/>
          <w:szCs w:val="28"/>
        </w:rPr>
        <w:t xml:space="preserve"> по реализации продовольственных товаров, 199  предприятий общественного питания на 19504  посадочных места,  рынок, 10 торговых комплексов,16 торговых центров,  5  торговых центров смешанной торговли , 106 предприятий мелкой розницы. </w:t>
      </w:r>
    </w:p>
    <w:p w:rsidR="00A96328" w:rsidRPr="006F07ED" w:rsidRDefault="00A96328" w:rsidP="00DF1D4E">
      <w:pPr>
        <w:pStyle w:val="a7"/>
        <w:spacing w:before="0" w:beforeAutospacing="0" w:after="0" w:afterAutospacing="0" w:line="360" w:lineRule="auto"/>
        <w:ind w:left="-340" w:firstLine="708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  Общая площадь предприятий торговли за  2016 год составила 291,8  тыс. кв. метров, из которых торговая площадь – 135,6 тыс. кв. метров.</w:t>
      </w:r>
    </w:p>
    <w:p w:rsidR="00A96328" w:rsidRPr="006F07ED" w:rsidRDefault="00A96328" w:rsidP="00DF1D4E">
      <w:pPr>
        <w:pStyle w:val="ad"/>
        <w:spacing w:after="0" w:line="360" w:lineRule="auto"/>
        <w:ind w:left="-340" w:firstLine="709"/>
        <w:rPr>
          <w:color w:val="000000" w:themeColor="text1"/>
          <w:sz w:val="28"/>
          <w:szCs w:val="28"/>
          <w:lang w:val="ru-RU"/>
        </w:rPr>
      </w:pPr>
      <w:r w:rsidRPr="006F07ED">
        <w:rPr>
          <w:color w:val="000000" w:themeColor="text1"/>
          <w:sz w:val="28"/>
          <w:szCs w:val="28"/>
        </w:rPr>
        <w:t>Оборот общественного питания  за  201</w:t>
      </w:r>
      <w:r w:rsidRPr="006F07ED">
        <w:rPr>
          <w:color w:val="000000" w:themeColor="text1"/>
          <w:sz w:val="28"/>
          <w:szCs w:val="28"/>
          <w:lang w:val="ru-RU"/>
        </w:rPr>
        <w:t>6</w:t>
      </w:r>
      <w:r w:rsidRPr="006F07ED">
        <w:rPr>
          <w:color w:val="000000" w:themeColor="text1"/>
          <w:sz w:val="28"/>
          <w:szCs w:val="28"/>
        </w:rPr>
        <w:t xml:space="preserve"> год сложился в сумме 1</w:t>
      </w:r>
      <w:r w:rsidRPr="006F07ED">
        <w:rPr>
          <w:color w:val="000000" w:themeColor="text1"/>
          <w:sz w:val="28"/>
          <w:szCs w:val="28"/>
          <w:lang w:val="ru-RU"/>
        </w:rPr>
        <w:t>719,1</w:t>
      </w:r>
      <w:r w:rsidRPr="006F07ED">
        <w:rPr>
          <w:color w:val="000000" w:themeColor="text1"/>
          <w:sz w:val="28"/>
          <w:szCs w:val="28"/>
        </w:rPr>
        <w:t xml:space="preserve"> млн. рублей или 100,</w:t>
      </w:r>
      <w:r w:rsidRPr="006F07ED">
        <w:rPr>
          <w:color w:val="000000" w:themeColor="text1"/>
          <w:sz w:val="28"/>
          <w:szCs w:val="28"/>
          <w:lang w:val="ru-RU"/>
        </w:rPr>
        <w:t>3</w:t>
      </w:r>
      <w:r w:rsidRPr="006F07ED">
        <w:rPr>
          <w:color w:val="000000" w:themeColor="text1"/>
          <w:sz w:val="28"/>
          <w:szCs w:val="28"/>
        </w:rPr>
        <w:t xml:space="preserve">% к  </w:t>
      </w:r>
      <w:r w:rsidRPr="006F07ED">
        <w:rPr>
          <w:color w:val="000000" w:themeColor="text1"/>
          <w:sz w:val="28"/>
          <w:szCs w:val="28"/>
          <w:lang w:val="ru-RU"/>
        </w:rPr>
        <w:t>показателю</w:t>
      </w:r>
      <w:r w:rsidRPr="006F07ED">
        <w:rPr>
          <w:color w:val="000000" w:themeColor="text1"/>
          <w:sz w:val="28"/>
          <w:szCs w:val="28"/>
        </w:rPr>
        <w:t xml:space="preserve"> 201</w:t>
      </w:r>
      <w:r w:rsidRPr="006F07ED">
        <w:rPr>
          <w:color w:val="000000" w:themeColor="text1"/>
          <w:sz w:val="28"/>
          <w:szCs w:val="28"/>
          <w:lang w:val="ru-RU"/>
        </w:rPr>
        <w:t>5</w:t>
      </w:r>
      <w:r w:rsidRPr="006F07ED">
        <w:rPr>
          <w:color w:val="000000" w:themeColor="text1"/>
          <w:sz w:val="28"/>
          <w:szCs w:val="28"/>
        </w:rPr>
        <w:t xml:space="preserve"> года. </w:t>
      </w:r>
    </w:p>
    <w:p w:rsidR="00C7471D" w:rsidRPr="006F07ED" w:rsidRDefault="00462CF9" w:rsidP="00C7471D">
      <w:pPr>
        <w:spacing w:after="0" w:line="360" w:lineRule="auto"/>
        <w:ind w:left="-28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C7471D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 создания условий </w:t>
      </w:r>
      <w:r w:rsidR="00F57807" w:rsidRPr="006F07ED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C7471D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 продукции республиканских сельхозпроизводителей и более полного обеспечения населения сельскохозяйственной продукцией 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C7471D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7471D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7471D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городского округа 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C7471D" w:rsidRPr="006F07ED">
        <w:rPr>
          <w:rFonts w:ascii="Times New Roman" w:hAnsi="Times New Roman"/>
          <w:color w:val="000000" w:themeColor="text1"/>
          <w:sz w:val="28"/>
          <w:szCs w:val="28"/>
        </w:rPr>
        <w:t>роведен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7471D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>5 сельскохозяйственных</w:t>
      </w:r>
      <w:r w:rsidR="00C7471D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ярмарок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7471D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В ярмарках приняли участие фермерские хозяйства, частные лица, индивидуальные предприниматели городского округа и близлежащих районов</w:t>
      </w:r>
      <w:r w:rsidR="008806A6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Татарстан, Оренбургской и Самарской областей.</w:t>
      </w:r>
    </w:p>
    <w:p w:rsidR="00C305C1" w:rsidRPr="006F07ED" w:rsidRDefault="0072735A" w:rsidP="0072735A">
      <w:pPr>
        <w:suppressAutoHyphens/>
        <w:spacing w:after="0" w:line="360" w:lineRule="auto"/>
        <w:ind w:left="-3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C305C1"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Малое предпринимательство. </w:t>
      </w:r>
      <w:r w:rsidR="00C305C1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Малый бизнес является важнейшим элементом рыночной экономики. Развитие малого бизнеса создает предпосылки для ускорения экономического роста, способствует насыщению местного рынка товарами и услугами, позволяя компенсировать издержки рыночной экономики, такие как безработица. </w:t>
      </w:r>
    </w:p>
    <w:p w:rsidR="00C305C1" w:rsidRPr="006F07ED" w:rsidRDefault="00C305C1" w:rsidP="00C305C1">
      <w:pPr>
        <w:spacing w:after="0" w:line="360" w:lineRule="auto"/>
        <w:ind w:left="-34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>На территории городского округа в  2016 году осуществляли   хозяйственную деятельность  5103  субъекта  малого и среднего предпринимательства. По данным налоговой службы в течение 2016 года на территории городского округа зарегистрировано 458 индивидуальных предпринимателей.</w:t>
      </w:r>
    </w:p>
    <w:p w:rsidR="00861324" w:rsidRPr="006F07ED" w:rsidRDefault="00861324" w:rsidP="0072735A">
      <w:pPr>
        <w:spacing w:after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lastRenderedPageBreak/>
        <w:t>Количество субъектов малого и среднего предпринимательства</w:t>
      </w:r>
    </w:p>
    <w:p w:rsidR="00861324" w:rsidRPr="006F07ED" w:rsidRDefault="0072735A" w:rsidP="0072735A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61324" w:rsidRPr="006F07ED">
        <w:rPr>
          <w:rFonts w:ascii="Times New Roman" w:hAnsi="Times New Roman"/>
          <w:color w:val="000000" w:themeColor="text1"/>
          <w:sz w:val="26"/>
          <w:szCs w:val="26"/>
        </w:rPr>
        <w:t>(единиц)</w:t>
      </w:r>
    </w:p>
    <w:p w:rsidR="00861324" w:rsidRPr="006F07ED" w:rsidRDefault="00861324" w:rsidP="0072735A">
      <w:pPr>
        <w:spacing w:after="0"/>
        <w:ind w:left="-34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b/>
          <w:noProof/>
          <w:color w:val="000000" w:themeColor="text1"/>
          <w:sz w:val="34"/>
          <w:lang w:eastAsia="ru-RU"/>
        </w:rPr>
        <w:drawing>
          <wp:inline distT="0" distB="0" distL="0" distR="0">
            <wp:extent cx="5286375" cy="2724150"/>
            <wp:effectExtent l="0" t="0" r="0" b="0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C305C1" w:rsidRPr="006F07ED" w:rsidRDefault="00C305C1" w:rsidP="00C305C1">
      <w:pPr>
        <w:spacing w:after="0" w:line="360" w:lineRule="auto"/>
        <w:ind w:left="-34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>Среднесписочная численность работников (без внешних совместителей) в сфере малого и среднего предпринимательства за  2016 год  составила 25,5 тыс. человек. Поступления от предпринимательской деятельности достигли 31,45 % от доходной части бюджета городского округа.</w:t>
      </w:r>
    </w:p>
    <w:p w:rsidR="00C305C1" w:rsidRPr="006F07ED" w:rsidRDefault="00C305C1" w:rsidP="00C305C1">
      <w:pPr>
        <w:suppressAutoHyphens/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малый бизнес представлен практически во всех сферах экономической деятельности, хотя лидерство по-прежнему принадлежит торговле. </w:t>
      </w:r>
      <w:proofErr w:type="gram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Преобладающее  значение</w:t>
      </w:r>
      <w:proofErr w:type="gramEnd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формировании объема оборота розничной торговли и объема платных услуг в городском округе сохраняют предприятия малого и среднего  бизнеса и лица, занимающиеся индивидуальной трудовой деятельностью. </w:t>
      </w:r>
    </w:p>
    <w:p w:rsidR="00C305C1" w:rsidRPr="006F07ED" w:rsidRDefault="00C305C1" w:rsidP="00C305C1">
      <w:pPr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 городском  округе  создана  надежная   база для проявления  предпринимательской инициативы, действуют различные формы поддержки малого и среднего бизнеса. Это - «Совет по содействию развитию малого и среднего предпринимательства», общественная организация «Союз предпринимателей» и территориальный «Бизнес-инкубатор». </w:t>
      </w:r>
    </w:p>
    <w:p w:rsidR="00C305C1" w:rsidRPr="006F07ED" w:rsidRDefault="00C305C1" w:rsidP="00C305C1">
      <w:pPr>
        <w:suppressAutoHyphens/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способами государственной поддержки малого бизнеса в настоящее время в городском округе являются выдача льготных займов, предоставление помещений в аренду, снижение налоговых коэффициентов.</w:t>
      </w:r>
    </w:p>
    <w:p w:rsidR="00C305C1" w:rsidRPr="006F07ED" w:rsidRDefault="00C305C1" w:rsidP="00C305C1">
      <w:pPr>
        <w:spacing w:after="0" w:line="360" w:lineRule="auto"/>
        <w:ind w:left="-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      В рамках реализации мероприятий поддержки малого и среднего предпринимательства продолжается работа по приватизации объектов 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недвижимости, арендуемых субъектами малого и среднего предпринимательства в соответствии с Федеральным законом от  22 июля 2008 года №159-ФЗ.  </w:t>
      </w:r>
    </w:p>
    <w:p w:rsidR="00C305C1" w:rsidRPr="006F07ED" w:rsidRDefault="00C305C1" w:rsidP="00C305C1">
      <w:pPr>
        <w:spacing w:after="0" w:line="360" w:lineRule="auto"/>
        <w:ind w:left="-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       С начала действия данного закона заключено 118 договоров купли - продажи объектов нежилого фонда площадью 15,6 тыс. кв. метров на сумму 290,4 млн. рублей.</w:t>
      </w:r>
    </w:p>
    <w:p w:rsidR="00C305C1" w:rsidRPr="006F07ED" w:rsidRDefault="00C305C1" w:rsidP="00C305C1">
      <w:pPr>
        <w:spacing w:after="0" w:line="360" w:lineRule="auto"/>
        <w:ind w:left="-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            Финансовую  поддержку в  2016 году    получили  56  субъектов малого и среднего предпринимательства на сумму 21330 тыс. рублей  -  выдано  </w:t>
      </w:r>
      <w:proofErr w:type="spellStart"/>
      <w:r w:rsidRPr="006F07ED">
        <w:rPr>
          <w:rFonts w:ascii="Times New Roman" w:hAnsi="Times New Roman"/>
          <w:color w:val="000000" w:themeColor="text1"/>
          <w:sz w:val="28"/>
          <w:szCs w:val="28"/>
        </w:rPr>
        <w:t>микрозаймов</w:t>
      </w:r>
      <w:proofErr w:type="spell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F07ED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из средств  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Фонда поддержки малого и среднего предпринимательства городского округа  </w:t>
      </w:r>
      <w:r w:rsidRPr="006F07ED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 сроком до трех месяцев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31 субъекту  на сумму 3,1 млн. рублей,  из средств республиканской организации  микрофинансирования малого бизнеса  17 субъектам на сумму 20,2 млн. рублей; предоставлены субсидии на сумму 300,0 тыс. рублей  3 субъектам малого предпринимательства  на начальной стадии становления бизнеса и субсидии 5 субъектам на возмещение части затрат на приобретение оборудования в лизинг при обновлении производственного оборудования на уплату процентов по кредитам на сумму 909,84 тыс. рублей.</w:t>
      </w:r>
    </w:p>
    <w:p w:rsidR="00C305C1" w:rsidRPr="006F07ED" w:rsidRDefault="00C305C1" w:rsidP="00C305C1">
      <w:pPr>
        <w:pStyle w:val="P15"/>
        <w:ind w:left="-340" w:firstLine="0"/>
        <w:jc w:val="both"/>
        <w:rPr>
          <w:color w:val="000000" w:themeColor="text1"/>
          <w:szCs w:val="28"/>
        </w:rPr>
      </w:pPr>
      <w:r w:rsidRPr="006F07ED">
        <w:rPr>
          <w:color w:val="000000" w:themeColor="text1"/>
          <w:szCs w:val="28"/>
        </w:rPr>
        <w:t xml:space="preserve">Резидентам </w:t>
      </w:r>
      <w:proofErr w:type="gramStart"/>
      <w:r w:rsidRPr="006F07ED">
        <w:rPr>
          <w:color w:val="000000" w:themeColor="text1"/>
          <w:szCs w:val="28"/>
        </w:rPr>
        <w:t>территориального  бизнес</w:t>
      </w:r>
      <w:proofErr w:type="gramEnd"/>
      <w:r w:rsidRPr="006F07ED">
        <w:rPr>
          <w:color w:val="000000" w:themeColor="text1"/>
          <w:szCs w:val="28"/>
        </w:rPr>
        <w:t xml:space="preserve">- инкубатора оказывается поддержка в виде получения бесплатных консультаций, решения экономических и бухгалтерских вопросов, льгот по аренде офисных помещений. </w:t>
      </w:r>
    </w:p>
    <w:p w:rsidR="00C305C1" w:rsidRPr="006F07ED" w:rsidRDefault="00C305C1" w:rsidP="00C305C1">
      <w:pPr>
        <w:pStyle w:val="P15"/>
        <w:ind w:left="-340" w:firstLine="0"/>
        <w:jc w:val="both"/>
        <w:rPr>
          <w:color w:val="000000" w:themeColor="text1"/>
          <w:szCs w:val="28"/>
        </w:rPr>
      </w:pPr>
      <w:r w:rsidRPr="006F07ED">
        <w:rPr>
          <w:rFonts w:eastAsia="Times New Roman CYR"/>
          <w:color w:val="000000" w:themeColor="text1"/>
          <w:szCs w:val="28"/>
        </w:rPr>
        <w:t xml:space="preserve"> </w:t>
      </w:r>
      <w:r w:rsidRPr="006F07ED">
        <w:rPr>
          <w:color w:val="000000" w:themeColor="text1"/>
          <w:szCs w:val="28"/>
        </w:rPr>
        <w:t xml:space="preserve">По состоянию на 1 января 2017 года в бизнес - инкубаторе сданы в аренду офисные помещения 17 субъектам малого предпринимательства. </w:t>
      </w:r>
    </w:p>
    <w:p w:rsidR="00C305C1" w:rsidRPr="006F07ED" w:rsidRDefault="00C305C1" w:rsidP="00C305C1">
      <w:pPr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Резиденты территориального бизнес - инкубатора занимают 28 офисных помещений на 68 рабочих мест.</w:t>
      </w:r>
    </w:p>
    <w:p w:rsidR="00C305C1" w:rsidRPr="006F07ED" w:rsidRDefault="00C305C1" w:rsidP="00C305C1">
      <w:pPr>
        <w:pStyle w:val="a7"/>
        <w:spacing w:before="0" w:beforeAutospacing="0" w:after="0" w:afterAutospacing="0" w:line="360" w:lineRule="auto"/>
        <w:ind w:left="-340" w:firstLine="708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  В здании бизнес-инкубатора ведет прием граждан по вопросам защиты законных прав и интересов предпринимателей общественный помощник Уполномоченного по правам предпринимателей в Республике Башкортостан по городу Октябрьский Кузнецов Анатолий.</w:t>
      </w:r>
    </w:p>
    <w:p w:rsidR="0072735A" w:rsidRPr="006F07ED" w:rsidRDefault="00856449" w:rsidP="00856449">
      <w:pPr>
        <w:spacing w:after="0" w:line="360" w:lineRule="auto"/>
        <w:ind w:left="-363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6F07ED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 </w:t>
      </w:r>
    </w:p>
    <w:p w:rsidR="0072735A" w:rsidRPr="006F07ED" w:rsidRDefault="0072735A" w:rsidP="00856449">
      <w:pPr>
        <w:spacing w:after="0" w:line="360" w:lineRule="auto"/>
        <w:ind w:left="-363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</w:p>
    <w:p w:rsidR="00856449" w:rsidRPr="006F07ED" w:rsidRDefault="00856449" w:rsidP="0072735A">
      <w:pPr>
        <w:spacing w:after="0" w:line="360" w:lineRule="auto"/>
        <w:ind w:left="-363" w:firstLine="73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6F07ED"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  <w:lastRenderedPageBreak/>
        <w:t>Финансы предприятий</w:t>
      </w:r>
      <w:r w:rsidRPr="006F07ED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 </w:t>
      </w:r>
    </w:p>
    <w:p w:rsidR="00856449" w:rsidRPr="006F07ED" w:rsidRDefault="00856449" w:rsidP="0072735A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07ED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За январь - ноябрь    </w:t>
      </w:r>
      <w:proofErr w:type="gramStart"/>
      <w:r w:rsidRPr="006F07ED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2016  года</w:t>
      </w:r>
      <w:proofErr w:type="gramEnd"/>
      <w:r w:rsidRPr="006F07ED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предприятиями и организациями (кроме малых предприятий и бюджетных организаций) получена сальдированная прибыль в сумме  1855,9  млн. рублей, что составляет  72,9%  к  январю -  ноябрю   2015 года.</w:t>
      </w:r>
      <w:r w:rsidRPr="006F07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15D6D" w:rsidRPr="006F07ED" w:rsidRDefault="00E15D6D" w:rsidP="00856449">
      <w:pPr>
        <w:spacing w:after="0" w:line="360" w:lineRule="auto"/>
        <w:ind w:left="-3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 январь-ноябрь 2016 года 73% крупных и средних предприятий, организаций городского округа обеспечили рентабельную деятельность. Ими получено 1962,9 млн. рублей балансовой прибыли. </w:t>
      </w:r>
    </w:p>
    <w:p w:rsidR="00856449" w:rsidRPr="006F07ED" w:rsidRDefault="00856449" w:rsidP="00856449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Прибыль  предприятий промышленного сектора сложилась в сумме  1393,2  млн. рублей или 69,9% к  январю - ноябрю  2015 года. </w:t>
      </w:r>
    </w:p>
    <w:p w:rsidR="00856449" w:rsidRPr="006F07ED" w:rsidRDefault="00856449" w:rsidP="00856449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>Убыток  наблюдается  на предприятиях по  производству прочих неметаллических минеральных продуктов  (41933  тыс. рублей), производству медицинских изделий, средств измерений, контроля, управления и испытаний оптических приборов, фото – и кинооборудования, часов (242 тыс. рублей).</w:t>
      </w:r>
    </w:p>
    <w:p w:rsidR="0072735A" w:rsidRPr="006F07ED" w:rsidRDefault="0072735A" w:rsidP="0072735A">
      <w:pPr>
        <w:spacing w:after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991A03" w:rsidRPr="006F07ED" w:rsidRDefault="00F37A76" w:rsidP="0072735A">
      <w:pPr>
        <w:spacing w:after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 xml:space="preserve">Сальдированная </w:t>
      </w:r>
      <w:proofErr w:type="gramStart"/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>прибыль</w:t>
      </w:r>
      <w:r w:rsidR="00991A03" w:rsidRPr="006F07E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991A03" w:rsidRPr="006F07ED">
        <w:rPr>
          <w:rFonts w:ascii="Times New Roman" w:hAnsi="Times New Roman"/>
          <w:b/>
          <w:color w:val="000000" w:themeColor="text1"/>
          <w:sz w:val="27"/>
          <w:szCs w:val="27"/>
        </w:rPr>
        <w:t>предприятий</w:t>
      </w:r>
      <w:proofErr w:type="gramEnd"/>
      <w:r w:rsidR="00991A03" w:rsidRPr="006F07E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</w:p>
    <w:p w:rsidR="00991A03" w:rsidRPr="006F07ED" w:rsidRDefault="00991A03" w:rsidP="0072735A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color w:val="000000" w:themeColor="text1"/>
          <w:sz w:val="26"/>
          <w:szCs w:val="26"/>
        </w:rPr>
        <w:t>(млн. рублей)</w:t>
      </w:r>
    </w:p>
    <w:p w:rsidR="00E15D6D" w:rsidRPr="006F07ED" w:rsidRDefault="0072735A" w:rsidP="0072735A">
      <w:pPr>
        <w:spacing w:after="0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6DFFE08" wp14:editId="6A215D28">
            <wp:simplePos x="0" y="0"/>
            <wp:positionH relativeFrom="column">
              <wp:posOffset>272415</wp:posOffset>
            </wp:positionH>
            <wp:positionV relativeFrom="paragraph">
              <wp:posOffset>29845</wp:posOffset>
            </wp:positionV>
            <wp:extent cx="5267325" cy="2895600"/>
            <wp:effectExtent l="0" t="0" r="0" b="0"/>
            <wp:wrapSquare wrapText="right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35A" w:rsidRPr="006F07ED" w:rsidRDefault="0072735A" w:rsidP="0072735A">
      <w:pPr>
        <w:spacing w:after="0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735A" w:rsidRPr="006F07ED" w:rsidRDefault="0072735A" w:rsidP="0072735A">
      <w:pPr>
        <w:spacing w:after="0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735A" w:rsidRPr="006F07ED" w:rsidRDefault="0072735A" w:rsidP="0072735A">
      <w:pPr>
        <w:spacing w:after="0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735A" w:rsidRPr="006F07ED" w:rsidRDefault="0072735A" w:rsidP="0072735A">
      <w:pPr>
        <w:spacing w:after="0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735A" w:rsidRPr="006F07ED" w:rsidRDefault="0072735A" w:rsidP="0072735A">
      <w:pPr>
        <w:spacing w:after="0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735A" w:rsidRPr="006F07ED" w:rsidRDefault="0072735A" w:rsidP="0072735A">
      <w:pPr>
        <w:spacing w:after="0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735A" w:rsidRPr="006F07ED" w:rsidRDefault="0072735A" w:rsidP="00856449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735A" w:rsidRPr="006F07ED" w:rsidRDefault="0072735A" w:rsidP="00856449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735A" w:rsidRPr="006F07ED" w:rsidRDefault="0072735A" w:rsidP="00856449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735A" w:rsidRPr="006F07ED" w:rsidRDefault="0072735A" w:rsidP="00856449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735A" w:rsidRPr="006F07ED" w:rsidRDefault="0072735A" w:rsidP="00856449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91A03" w:rsidRPr="006F07ED" w:rsidRDefault="00E15D6D" w:rsidP="00856449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>Кредиторская задолженность насчитывает 6867 млн. рублей, из которых 40% приходится на предприятия по производству машин и оборудования. Из общей суммы кредиторской задолженности 0,1% является просроченной.</w:t>
      </w:r>
    </w:p>
    <w:p w:rsidR="00A0110C" w:rsidRPr="006F07ED" w:rsidRDefault="00E15D6D" w:rsidP="00856449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структуре кредиторской задолженности наиболее значимую часть 5315,7 млн. рублей (77,4%) </w:t>
      </w:r>
      <w:proofErr w:type="gramStart"/>
      <w:r w:rsidR="00A978E6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занимает 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</w:t>
      </w:r>
      <w:proofErr w:type="gram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поставщикам и подрядчикам за товары, работы и услуги. Сумму </w:t>
      </w:r>
      <w:r w:rsidR="00A978E6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>444,5 млн. рублей предприятия и организации должны по платежам в бюджеты всех уровней. Доля просроченной задолженности по платежам в бюджет составляет 0,3%. В государственные внебюджетные фонды задолженность по состоянию на 1 декабря 2016 года составила 210 млн. рублей</w:t>
      </w:r>
      <w:r w:rsidR="00A0110C" w:rsidRPr="006F07ED">
        <w:rPr>
          <w:rFonts w:ascii="Times New Roman" w:hAnsi="Times New Roman"/>
          <w:color w:val="000000" w:themeColor="text1"/>
          <w:sz w:val="28"/>
          <w:szCs w:val="28"/>
        </w:rPr>
        <w:t>, из которых 0,3 млн. рублей (0,14%) – просроченная.</w:t>
      </w:r>
    </w:p>
    <w:p w:rsidR="00E15D6D" w:rsidRPr="006F07ED" w:rsidRDefault="00A0110C" w:rsidP="00856449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Дебиторская задолженность на конец ноября 2016 года составила 8149,2 млн. рублей (январь-ноябрь 2015 года -  8122,3 млн. рублей), из </w:t>
      </w:r>
      <w:proofErr w:type="gramStart"/>
      <w:r w:rsidRPr="006F07ED">
        <w:rPr>
          <w:rFonts w:ascii="Times New Roman" w:hAnsi="Times New Roman"/>
          <w:color w:val="000000" w:themeColor="text1"/>
          <w:sz w:val="28"/>
          <w:szCs w:val="28"/>
        </w:rPr>
        <w:t>которой  просроченная</w:t>
      </w:r>
      <w:proofErr w:type="gram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- 122,3 млн. рублей. Большую часть ожидаемых платежей 7155,3 млн. рублей (87,8%) занимают долги покупателей за товары, работы, услуги. </w:t>
      </w:r>
    </w:p>
    <w:p w:rsidR="00A0110C" w:rsidRPr="006F07ED" w:rsidRDefault="00A0110C" w:rsidP="00856449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>Общая дебиторская задолженность превышает кредиторскую задолженность на 18,7%. При этом просроченная дебиторская задолженность превышает просроченную кредиторскую задолженность в 7 раз.</w:t>
      </w:r>
    </w:p>
    <w:p w:rsidR="003706E4" w:rsidRPr="006F07ED" w:rsidRDefault="003706E4" w:rsidP="005373B7">
      <w:pPr>
        <w:pStyle w:val="a7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6F07ED">
        <w:rPr>
          <w:b/>
          <w:color w:val="000000" w:themeColor="text1"/>
          <w:sz w:val="28"/>
          <w:szCs w:val="28"/>
        </w:rPr>
        <w:t>Строительство</w:t>
      </w:r>
      <w:r w:rsidR="00381553" w:rsidRPr="006F07ED">
        <w:rPr>
          <w:b/>
          <w:color w:val="000000" w:themeColor="text1"/>
          <w:sz w:val="28"/>
          <w:szCs w:val="28"/>
        </w:rPr>
        <w:t xml:space="preserve">  </w:t>
      </w:r>
    </w:p>
    <w:p w:rsidR="004D25E9" w:rsidRPr="006F07ED" w:rsidRDefault="009B45D4" w:rsidP="009B45D4">
      <w:pPr>
        <w:pStyle w:val="a7"/>
        <w:spacing w:before="0" w:beforeAutospacing="0" w:after="0" w:afterAutospacing="0" w:line="360" w:lineRule="auto"/>
        <w:ind w:left="-363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      </w:t>
      </w:r>
      <w:r w:rsidR="004D25E9" w:rsidRPr="006F07ED">
        <w:rPr>
          <w:color w:val="000000" w:themeColor="text1"/>
          <w:sz w:val="28"/>
          <w:szCs w:val="28"/>
        </w:rPr>
        <w:t xml:space="preserve">Строительный  комплекс,  как  важнейшая  отрасль  народного  хозяйства </w:t>
      </w:r>
    </w:p>
    <w:p w:rsidR="004D25E9" w:rsidRPr="006F07ED" w:rsidRDefault="004D25E9" w:rsidP="009B45D4">
      <w:pPr>
        <w:pStyle w:val="a7"/>
        <w:spacing w:before="0" w:beforeAutospacing="0" w:after="0" w:afterAutospacing="0" w:line="360" w:lineRule="auto"/>
        <w:ind w:left="-363"/>
        <w:jc w:val="both"/>
        <w:rPr>
          <w:color w:val="000000" w:themeColor="text1"/>
          <w:sz w:val="28"/>
          <w:szCs w:val="28"/>
        </w:rPr>
      </w:pPr>
      <w:proofErr w:type="gramStart"/>
      <w:r w:rsidRPr="006F07ED">
        <w:rPr>
          <w:color w:val="000000" w:themeColor="text1"/>
          <w:sz w:val="28"/>
          <w:szCs w:val="28"/>
        </w:rPr>
        <w:t>автономного  округа</w:t>
      </w:r>
      <w:proofErr w:type="gramEnd"/>
      <w:r w:rsidRPr="006F07ED">
        <w:rPr>
          <w:color w:val="000000" w:themeColor="text1"/>
          <w:sz w:val="28"/>
          <w:szCs w:val="28"/>
        </w:rPr>
        <w:t xml:space="preserve">,  во  многом  определяет  решение  социальных, </w:t>
      </w:r>
      <w:proofErr w:type="spellStart"/>
      <w:r w:rsidR="009B45D4" w:rsidRPr="006F07ED">
        <w:rPr>
          <w:color w:val="000000" w:themeColor="text1"/>
          <w:sz w:val="28"/>
          <w:szCs w:val="28"/>
        </w:rPr>
        <w:t>экономи</w:t>
      </w:r>
      <w:proofErr w:type="spellEnd"/>
      <w:r w:rsidR="009B45D4" w:rsidRPr="006F07ED">
        <w:rPr>
          <w:color w:val="000000" w:themeColor="text1"/>
          <w:sz w:val="28"/>
          <w:szCs w:val="28"/>
        </w:rPr>
        <w:t>-</w:t>
      </w:r>
    </w:p>
    <w:p w:rsidR="004D25E9" w:rsidRPr="006F07ED" w:rsidRDefault="004D25E9" w:rsidP="009B45D4">
      <w:pPr>
        <w:pStyle w:val="a7"/>
        <w:spacing w:before="0" w:beforeAutospacing="0" w:after="0" w:afterAutospacing="0" w:line="360" w:lineRule="auto"/>
        <w:ind w:left="-363"/>
        <w:jc w:val="both"/>
        <w:rPr>
          <w:color w:val="000000" w:themeColor="text1"/>
          <w:sz w:val="28"/>
          <w:szCs w:val="28"/>
        </w:rPr>
      </w:pPr>
      <w:proofErr w:type="spellStart"/>
      <w:r w:rsidRPr="006F07ED">
        <w:rPr>
          <w:color w:val="000000" w:themeColor="text1"/>
          <w:sz w:val="28"/>
          <w:szCs w:val="28"/>
        </w:rPr>
        <w:t>ческих</w:t>
      </w:r>
      <w:proofErr w:type="spellEnd"/>
      <w:r w:rsidRPr="006F07ED">
        <w:rPr>
          <w:color w:val="000000" w:themeColor="text1"/>
          <w:sz w:val="28"/>
          <w:szCs w:val="28"/>
        </w:rPr>
        <w:t xml:space="preserve">  и  технических  задач  по  формированию  среды </w:t>
      </w:r>
      <w:r w:rsidR="009B45D4" w:rsidRPr="006F07ED">
        <w:rPr>
          <w:color w:val="000000" w:themeColor="text1"/>
          <w:sz w:val="28"/>
          <w:szCs w:val="28"/>
        </w:rPr>
        <w:t>жизнедеятельности и</w:t>
      </w:r>
    </w:p>
    <w:p w:rsidR="004D25E9" w:rsidRPr="006F07ED" w:rsidRDefault="004D25E9" w:rsidP="009B45D4">
      <w:pPr>
        <w:pStyle w:val="a7"/>
        <w:spacing w:before="0" w:beforeAutospacing="0" w:after="0" w:afterAutospacing="0" w:line="360" w:lineRule="auto"/>
        <w:ind w:left="-363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 и  всей  экономики  городского  округа,  обеспечению безопасных,  благоприятных  жилищных  и  культурно-бытовых  условий проживания,  участвует в создании основных  фондов всех  отраслей  народного хозяйства.</w:t>
      </w:r>
    </w:p>
    <w:p w:rsidR="00A978E6" w:rsidRPr="006F07ED" w:rsidRDefault="00413872" w:rsidP="00F63545">
      <w:pPr>
        <w:pStyle w:val="a7"/>
        <w:spacing w:before="0" w:beforeAutospacing="0" w:after="0" w:afterAutospacing="0" w:line="360" w:lineRule="auto"/>
        <w:ind w:left="-363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     </w:t>
      </w:r>
      <w:r w:rsidR="00F63545" w:rsidRPr="006F07ED">
        <w:rPr>
          <w:color w:val="000000" w:themeColor="text1"/>
          <w:sz w:val="28"/>
          <w:szCs w:val="28"/>
        </w:rPr>
        <w:t>На территории городского округа за счет всех источников финансирования  в  2016 году введено в действие 663  квартиры  общей площадью 52171 кв. метров, 103,1% к  2015 году (по Республике Башкортостан -2698,5 тыс. кв. метров, 100,3%) .</w:t>
      </w:r>
    </w:p>
    <w:p w:rsidR="0016043A" w:rsidRPr="006F07ED" w:rsidRDefault="0016043A" w:rsidP="0016043A">
      <w:pPr>
        <w:pStyle w:val="a7"/>
        <w:spacing w:before="0" w:beforeAutospacing="0" w:after="0" w:afterAutospacing="0" w:line="360" w:lineRule="auto"/>
        <w:ind w:left="-363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На 1000 человек </w:t>
      </w:r>
      <w:proofErr w:type="gramStart"/>
      <w:r w:rsidRPr="006F07ED">
        <w:rPr>
          <w:color w:val="000000" w:themeColor="text1"/>
          <w:sz w:val="28"/>
          <w:szCs w:val="28"/>
        </w:rPr>
        <w:t>населения  построено</w:t>
      </w:r>
      <w:proofErr w:type="gramEnd"/>
      <w:r w:rsidRPr="006F07ED">
        <w:rPr>
          <w:color w:val="000000" w:themeColor="text1"/>
          <w:sz w:val="28"/>
          <w:szCs w:val="28"/>
        </w:rPr>
        <w:t xml:space="preserve"> 458,7 кв. метров жилья (справочно: 2015 год- 447,7 кв. метров).</w:t>
      </w:r>
    </w:p>
    <w:p w:rsidR="0072735A" w:rsidRPr="006F07ED" w:rsidRDefault="0072735A" w:rsidP="0016043A">
      <w:pPr>
        <w:pStyle w:val="a7"/>
        <w:spacing w:before="0" w:beforeAutospacing="0" w:after="0" w:afterAutospacing="0" w:line="360" w:lineRule="auto"/>
        <w:ind w:left="-363"/>
        <w:jc w:val="both"/>
        <w:rPr>
          <w:color w:val="000000" w:themeColor="text1"/>
          <w:sz w:val="28"/>
          <w:szCs w:val="28"/>
        </w:rPr>
      </w:pPr>
    </w:p>
    <w:p w:rsidR="00D733E4" w:rsidRPr="006F07ED" w:rsidRDefault="00D733E4" w:rsidP="0072735A">
      <w:pPr>
        <w:spacing w:after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lastRenderedPageBreak/>
        <w:t>Ввод в действие жилых домов</w:t>
      </w:r>
    </w:p>
    <w:p w:rsidR="00D733E4" w:rsidRPr="006F07ED" w:rsidRDefault="009A7537" w:rsidP="0072735A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F07ED">
        <w:rPr>
          <w:b/>
          <w:color w:val="000000" w:themeColor="text1"/>
          <w:sz w:val="34"/>
        </w:rPr>
        <w:tab/>
      </w:r>
      <w:r w:rsidRPr="006F07ED">
        <w:rPr>
          <w:b/>
          <w:color w:val="000000" w:themeColor="text1"/>
          <w:sz w:val="34"/>
        </w:rPr>
        <w:tab/>
      </w:r>
      <w:r w:rsidRPr="006F07ED">
        <w:rPr>
          <w:b/>
          <w:color w:val="000000" w:themeColor="text1"/>
          <w:sz w:val="34"/>
        </w:rPr>
        <w:tab/>
      </w:r>
      <w:r w:rsidRPr="006F07ED">
        <w:rPr>
          <w:b/>
          <w:color w:val="000000" w:themeColor="text1"/>
          <w:sz w:val="34"/>
        </w:rPr>
        <w:tab/>
      </w:r>
      <w:r w:rsidRPr="006F07ED">
        <w:rPr>
          <w:b/>
          <w:color w:val="000000" w:themeColor="text1"/>
          <w:sz w:val="34"/>
        </w:rPr>
        <w:tab/>
      </w:r>
      <w:r w:rsidRPr="006F07ED">
        <w:rPr>
          <w:b/>
          <w:color w:val="000000" w:themeColor="text1"/>
          <w:sz w:val="34"/>
        </w:rPr>
        <w:tab/>
      </w:r>
      <w:r w:rsidRPr="006F07ED">
        <w:rPr>
          <w:b/>
          <w:color w:val="000000" w:themeColor="text1"/>
          <w:sz w:val="34"/>
        </w:rPr>
        <w:tab/>
      </w:r>
      <w:r w:rsidR="00D733E4" w:rsidRPr="006F07ED">
        <w:rPr>
          <w:rFonts w:ascii="Times New Roman" w:hAnsi="Times New Roman"/>
          <w:color w:val="000000" w:themeColor="text1"/>
          <w:sz w:val="26"/>
          <w:szCs w:val="26"/>
        </w:rPr>
        <w:t>(кв. метров)</w:t>
      </w:r>
    </w:p>
    <w:p w:rsidR="00D733E4" w:rsidRPr="006F07ED" w:rsidRDefault="00D733E4" w:rsidP="0072735A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07ED">
        <w:rPr>
          <w:b/>
          <w:noProof/>
          <w:color w:val="000000" w:themeColor="text1"/>
          <w:sz w:val="30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14605</wp:posOffset>
            </wp:positionV>
            <wp:extent cx="5524500" cy="2644775"/>
            <wp:effectExtent l="0" t="5080" r="3175" b="0"/>
            <wp:wrapSquare wrapText="right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3E4" w:rsidRPr="006F07ED" w:rsidRDefault="00D733E4" w:rsidP="0072735A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733E4" w:rsidRPr="006F07ED" w:rsidRDefault="00D733E4" w:rsidP="0072735A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733E4" w:rsidRPr="006F07ED" w:rsidRDefault="00D733E4" w:rsidP="0072735A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733E4" w:rsidRPr="006F07ED" w:rsidRDefault="00D733E4" w:rsidP="0072735A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733E4" w:rsidRPr="006F07ED" w:rsidRDefault="00D733E4" w:rsidP="00D733E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733E4" w:rsidRPr="006F07ED" w:rsidRDefault="00D733E4" w:rsidP="00564968">
      <w:pPr>
        <w:pStyle w:val="a7"/>
        <w:spacing w:before="0" w:beforeAutospacing="0" w:after="0" w:afterAutospacing="0" w:line="360" w:lineRule="auto"/>
        <w:ind w:left="-363"/>
        <w:jc w:val="both"/>
        <w:rPr>
          <w:color w:val="000000" w:themeColor="text1"/>
          <w:sz w:val="28"/>
          <w:szCs w:val="28"/>
        </w:rPr>
      </w:pPr>
    </w:p>
    <w:p w:rsidR="00D733E4" w:rsidRPr="006F07ED" w:rsidRDefault="00D733E4" w:rsidP="00564968">
      <w:pPr>
        <w:pStyle w:val="a7"/>
        <w:spacing w:before="0" w:beforeAutospacing="0" w:after="0" w:afterAutospacing="0" w:line="360" w:lineRule="auto"/>
        <w:ind w:left="-363"/>
        <w:jc w:val="both"/>
        <w:rPr>
          <w:color w:val="000000" w:themeColor="text1"/>
          <w:sz w:val="28"/>
          <w:szCs w:val="28"/>
        </w:rPr>
      </w:pPr>
    </w:p>
    <w:p w:rsidR="00AA4F32" w:rsidRPr="006F07ED" w:rsidRDefault="00AB3B45" w:rsidP="00AA4F32">
      <w:pPr>
        <w:pStyle w:val="a7"/>
        <w:spacing w:before="0" w:beforeAutospacing="0" w:after="0" w:afterAutospacing="0" w:line="360" w:lineRule="auto"/>
        <w:ind w:left="-363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 </w:t>
      </w:r>
      <w:r w:rsidR="00595A6F" w:rsidRPr="006F07ED">
        <w:rPr>
          <w:color w:val="000000" w:themeColor="text1"/>
          <w:sz w:val="28"/>
          <w:szCs w:val="28"/>
        </w:rPr>
        <w:t xml:space="preserve">  </w:t>
      </w:r>
      <w:r w:rsidR="00AA4F32" w:rsidRPr="006F07ED">
        <w:rPr>
          <w:color w:val="000000" w:themeColor="text1"/>
          <w:sz w:val="28"/>
          <w:szCs w:val="28"/>
        </w:rPr>
        <w:t xml:space="preserve">    </w:t>
      </w:r>
    </w:p>
    <w:p w:rsidR="0016043A" w:rsidRPr="006F07ED" w:rsidRDefault="0016043A" w:rsidP="00564968">
      <w:pPr>
        <w:pStyle w:val="a7"/>
        <w:spacing w:before="0" w:beforeAutospacing="0" w:after="0" w:afterAutospacing="0" w:line="360" w:lineRule="auto"/>
        <w:ind w:left="-363"/>
        <w:jc w:val="both"/>
        <w:rPr>
          <w:color w:val="000000" w:themeColor="text1"/>
          <w:sz w:val="28"/>
          <w:szCs w:val="28"/>
        </w:rPr>
      </w:pPr>
    </w:p>
    <w:p w:rsidR="0072735A" w:rsidRPr="006F07ED" w:rsidRDefault="0016043A" w:rsidP="00564968">
      <w:pPr>
        <w:pStyle w:val="a7"/>
        <w:spacing w:before="0" w:beforeAutospacing="0" w:after="0" w:afterAutospacing="0" w:line="360" w:lineRule="auto"/>
        <w:ind w:left="-363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       </w:t>
      </w:r>
      <w:r w:rsidR="00595A6F" w:rsidRPr="006F07ED">
        <w:rPr>
          <w:color w:val="000000" w:themeColor="text1"/>
          <w:sz w:val="28"/>
          <w:szCs w:val="28"/>
        </w:rPr>
        <w:t xml:space="preserve"> </w:t>
      </w:r>
    </w:p>
    <w:p w:rsidR="00AB3B45" w:rsidRPr="006F07ED" w:rsidRDefault="0072735A" w:rsidP="0072735A">
      <w:pPr>
        <w:pStyle w:val="a7"/>
        <w:spacing w:before="0" w:beforeAutospacing="0" w:after="0" w:afterAutospacing="0" w:line="360" w:lineRule="auto"/>
        <w:ind w:left="-363" w:firstLine="363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  </w:t>
      </w:r>
      <w:r w:rsidR="00AB3B45" w:rsidRPr="006F07ED">
        <w:rPr>
          <w:color w:val="000000" w:themeColor="text1"/>
          <w:sz w:val="28"/>
          <w:szCs w:val="28"/>
        </w:rPr>
        <w:t xml:space="preserve"> </w:t>
      </w:r>
      <w:r w:rsidR="009A0EA6" w:rsidRPr="006F07ED">
        <w:rPr>
          <w:color w:val="000000" w:themeColor="text1"/>
          <w:sz w:val="28"/>
          <w:szCs w:val="28"/>
        </w:rPr>
        <w:t>В структуре жилищного строительства доля жилья, построенного индивидуальными застройщиками,</w:t>
      </w:r>
      <w:r w:rsidR="00595A6F" w:rsidRPr="006F07ED">
        <w:rPr>
          <w:color w:val="000000" w:themeColor="text1"/>
          <w:sz w:val="28"/>
          <w:szCs w:val="28"/>
        </w:rPr>
        <w:t xml:space="preserve"> </w:t>
      </w:r>
      <w:r w:rsidR="009A0EA6" w:rsidRPr="006F07ED">
        <w:rPr>
          <w:color w:val="000000" w:themeColor="text1"/>
          <w:sz w:val="28"/>
          <w:szCs w:val="28"/>
        </w:rPr>
        <w:t>составила 46%</w:t>
      </w:r>
      <w:r w:rsidR="00595A6F" w:rsidRPr="006F07ED">
        <w:rPr>
          <w:color w:val="000000" w:themeColor="text1"/>
          <w:sz w:val="28"/>
          <w:szCs w:val="28"/>
        </w:rPr>
        <w:t xml:space="preserve"> </w:t>
      </w:r>
      <w:r w:rsidR="009A0EA6" w:rsidRPr="006F07ED">
        <w:rPr>
          <w:color w:val="000000" w:themeColor="text1"/>
          <w:sz w:val="28"/>
          <w:szCs w:val="28"/>
        </w:rPr>
        <w:t xml:space="preserve">(в 2015 году – </w:t>
      </w:r>
      <w:r w:rsidR="00595A6F" w:rsidRPr="006F07ED">
        <w:rPr>
          <w:color w:val="000000" w:themeColor="text1"/>
          <w:sz w:val="28"/>
          <w:szCs w:val="28"/>
        </w:rPr>
        <w:t>23,3</w:t>
      </w:r>
      <w:r w:rsidR="009A0EA6" w:rsidRPr="006F07ED">
        <w:rPr>
          <w:color w:val="000000" w:themeColor="text1"/>
          <w:sz w:val="28"/>
          <w:szCs w:val="28"/>
        </w:rPr>
        <w:t>%).</w:t>
      </w:r>
      <w:r w:rsidR="00AB3B45" w:rsidRPr="006F07ED">
        <w:rPr>
          <w:color w:val="000000" w:themeColor="text1"/>
          <w:sz w:val="28"/>
          <w:szCs w:val="28"/>
        </w:rPr>
        <w:t xml:space="preserve">  Населением за свой счет и с помощью кредитов построено </w:t>
      </w:r>
      <w:r w:rsidR="009A0EA6" w:rsidRPr="006F07ED">
        <w:rPr>
          <w:color w:val="000000" w:themeColor="text1"/>
          <w:sz w:val="28"/>
          <w:szCs w:val="28"/>
        </w:rPr>
        <w:t>156</w:t>
      </w:r>
      <w:r w:rsidR="00347956" w:rsidRPr="006F07ED">
        <w:rPr>
          <w:color w:val="000000" w:themeColor="text1"/>
          <w:sz w:val="28"/>
          <w:szCs w:val="28"/>
        </w:rPr>
        <w:t xml:space="preserve"> собственных </w:t>
      </w:r>
      <w:r w:rsidR="00AB3B45" w:rsidRPr="006F07ED">
        <w:rPr>
          <w:color w:val="000000" w:themeColor="text1"/>
          <w:sz w:val="28"/>
          <w:szCs w:val="28"/>
        </w:rPr>
        <w:t xml:space="preserve"> жилых дом</w:t>
      </w:r>
      <w:r w:rsidR="009A0EA6" w:rsidRPr="006F07ED">
        <w:rPr>
          <w:color w:val="000000" w:themeColor="text1"/>
          <w:sz w:val="28"/>
          <w:szCs w:val="28"/>
        </w:rPr>
        <w:t>ов</w:t>
      </w:r>
      <w:r w:rsidR="00AB3B45" w:rsidRPr="006F07ED">
        <w:rPr>
          <w:color w:val="000000" w:themeColor="text1"/>
          <w:sz w:val="28"/>
          <w:szCs w:val="28"/>
        </w:rPr>
        <w:t xml:space="preserve"> общей площадью </w:t>
      </w:r>
      <w:r w:rsidR="00595A6F" w:rsidRPr="006F07ED">
        <w:rPr>
          <w:color w:val="000000" w:themeColor="text1"/>
          <w:sz w:val="28"/>
          <w:szCs w:val="28"/>
        </w:rPr>
        <w:t>23989</w:t>
      </w:r>
      <w:r w:rsidR="00347956" w:rsidRPr="006F07ED">
        <w:rPr>
          <w:color w:val="000000" w:themeColor="text1"/>
          <w:sz w:val="28"/>
          <w:szCs w:val="28"/>
        </w:rPr>
        <w:t xml:space="preserve"> кв. метров, </w:t>
      </w:r>
      <w:r w:rsidR="00595A6F" w:rsidRPr="006F07ED">
        <w:rPr>
          <w:color w:val="000000" w:themeColor="text1"/>
          <w:sz w:val="28"/>
          <w:szCs w:val="28"/>
        </w:rPr>
        <w:t xml:space="preserve">203,5% к </w:t>
      </w:r>
      <w:r w:rsidR="00347956" w:rsidRPr="006F07ED">
        <w:rPr>
          <w:color w:val="000000" w:themeColor="text1"/>
          <w:sz w:val="28"/>
          <w:szCs w:val="28"/>
        </w:rPr>
        <w:t xml:space="preserve"> 201</w:t>
      </w:r>
      <w:r w:rsidR="00595A6F" w:rsidRPr="006F07ED">
        <w:rPr>
          <w:color w:val="000000" w:themeColor="text1"/>
          <w:sz w:val="28"/>
          <w:szCs w:val="28"/>
        </w:rPr>
        <w:t>5</w:t>
      </w:r>
      <w:r w:rsidR="00347956" w:rsidRPr="006F07ED">
        <w:rPr>
          <w:color w:val="000000" w:themeColor="text1"/>
          <w:sz w:val="28"/>
          <w:szCs w:val="28"/>
        </w:rPr>
        <w:t xml:space="preserve"> год</w:t>
      </w:r>
      <w:r w:rsidR="00595A6F" w:rsidRPr="006F07ED">
        <w:rPr>
          <w:color w:val="000000" w:themeColor="text1"/>
          <w:sz w:val="28"/>
          <w:szCs w:val="28"/>
        </w:rPr>
        <w:t>у</w:t>
      </w:r>
      <w:r w:rsidR="00347956" w:rsidRPr="006F07ED">
        <w:rPr>
          <w:color w:val="000000" w:themeColor="text1"/>
          <w:sz w:val="28"/>
          <w:szCs w:val="28"/>
        </w:rPr>
        <w:t xml:space="preserve">. </w:t>
      </w:r>
    </w:p>
    <w:p w:rsidR="004D25E9" w:rsidRPr="006F07ED" w:rsidRDefault="004D25E9" w:rsidP="004D25E9">
      <w:pPr>
        <w:spacing w:after="0" w:line="288" w:lineRule="auto"/>
        <w:ind w:left="-39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Динамика ввода в действие жилых домов:</w:t>
      </w:r>
    </w:p>
    <w:tbl>
      <w:tblPr>
        <w:tblW w:w="9609" w:type="dxa"/>
        <w:tblCellSpacing w:w="22" w:type="dxa"/>
        <w:tblInd w:w="-3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524"/>
        <w:gridCol w:w="2371"/>
        <w:gridCol w:w="1418"/>
        <w:gridCol w:w="2468"/>
      </w:tblGrid>
      <w:tr w:rsidR="006F07ED" w:rsidRPr="006F07ED" w:rsidTr="005E0D13">
        <w:trPr>
          <w:trHeight w:val="20"/>
          <w:tblCellSpacing w:w="22" w:type="dxa"/>
        </w:trPr>
        <w:tc>
          <w:tcPr>
            <w:tcW w:w="9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5E9" w:rsidRPr="006F07ED" w:rsidRDefault="004D25E9" w:rsidP="00A56856">
            <w:pPr>
              <w:pStyle w:val="a10"/>
              <w:spacing w:line="20" w:lineRule="atLeast"/>
              <w:rPr>
                <w:color w:val="000000" w:themeColor="text1"/>
              </w:rPr>
            </w:pPr>
            <w:r w:rsidRPr="006F07E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5E9" w:rsidRPr="006F07ED" w:rsidRDefault="004D25E9" w:rsidP="00A56856">
            <w:pPr>
              <w:pStyle w:val="aa"/>
              <w:spacing w:before="0" w:beforeAutospacing="0" w:after="0" w:afterAutospacing="0" w:line="20" w:lineRule="atLeast"/>
              <w:jc w:val="center"/>
              <w:rPr>
                <w:color w:val="000000" w:themeColor="text1"/>
              </w:rPr>
            </w:pPr>
            <w:r w:rsidRPr="006F07ED">
              <w:rPr>
                <w:i/>
                <w:iCs/>
                <w:color w:val="000000" w:themeColor="text1"/>
                <w:sz w:val="20"/>
                <w:szCs w:val="20"/>
              </w:rPr>
              <w:t>Введено общей (полезной) площади,   кв. метров</w:t>
            </w:r>
          </w:p>
        </w:tc>
        <w:tc>
          <w:tcPr>
            <w:tcW w:w="1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5E9" w:rsidRPr="006F07ED" w:rsidRDefault="004D25E9" w:rsidP="00A56856">
            <w:pPr>
              <w:pStyle w:val="aa"/>
              <w:spacing w:before="0" w:beforeAutospacing="0" w:after="0" w:afterAutospacing="0" w:line="20" w:lineRule="atLeast"/>
              <w:jc w:val="center"/>
              <w:rPr>
                <w:color w:val="000000" w:themeColor="text1"/>
              </w:rPr>
            </w:pPr>
            <w:r w:rsidRPr="006F07ED">
              <w:rPr>
                <w:i/>
                <w:iCs/>
                <w:color w:val="000000" w:themeColor="text1"/>
                <w:sz w:val="20"/>
                <w:szCs w:val="20"/>
              </w:rPr>
              <w:t>в % к соответствующему периоду</w:t>
            </w:r>
            <w:r w:rsidRPr="006F07ED">
              <w:rPr>
                <w:i/>
                <w:iCs/>
                <w:color w:val="000000" w:themeColor="text1"/>
                <w:sz w:val="20"/>
                <w:szCs w:val="20"/>
              </w:rPr>
              <w:br/>
              <w:t>предыдущего года</w:t>
            </w:r>
          </w:p>
        </w:tc>
      </w:tr>
      <w:tr w:rsidR="006F07ED" w:rsidRPr="006F07ED" w:rsidTr="005E0D13">
        <w:trPr>
          <w:trHeight w:val="20"/>
          <w:tblCellSpacing w:w="22" w:type="dxa"/>
        </w:trPr>
        <w:tc>
          <w:tcPr>
            <w:tcW w:w="9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5E9" w:rsidRPr="006F07ED" w:rsidRDefault="004D25E9" w:rsidP="00A56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5E9" w:rsidRPr="006F07ED" w:rsidRDefault="004D25E9" w:rsidP="00A56856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5E9" w:rsidRPr="006F07ED" w:rsidRDefault="004D25E9" w:rsidP="00A56856">
            <w:pPr>
              <w:pStyle w:val="aa"/>
              <w:spacing w:before="0" w:beforeAutospacing="0" w:after="0" w:afterAutospacing="0" w:line="20" w:lineRule="atLeast"/>
              <w:jc w:val="center"/>
              <w:rPr>
                <w:color w:val="000000" w:themeColor="text1"/>
              </w:rPr>
            </w:pPr>
            <w:r w:rsidRPr="006F07ED">
              <w:rPr>
                <w:i/>
                <w:iCs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6F07ED">
              <w:rPr>
                <w:i/>
                <w:iCs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6F07ED">
              <w:rPr>
                <w:i/>
                <w:iCs/>
                <w:color w:val="000000" w:themeColor="text1"/>
                <w:sz w:val="20"/>
                <w:szCs w:val="20"/>
              </w:rPr>
              <w:t>. индивидуальными застройщиками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5E9" w:rsidRPr="006F07ED" w:rsidRDefault="004D25E9" w:rsidP="00A56856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7E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5E9" w:rsidRPr="006F07ED" w:rsidRDefault="004D25E9" w:rsidP="00A56856">
            <w:pPr>
              <w:pStyle w:val="aa"/>
              <w:spacing w:before="0" w:beforeAutospacing="0" w:after="0" w:afterAutospacing="0" w:line="20" w:lineRule="atLeast"/>
              <w:jc w:val="center"/>
              <w:rPr>
                <w:color w:val="000000" w:themeColor="text1"/>
              </w:rPr>
            </w:pPr>
            <w:r w:rsidRPr="006F07ED">
              <w:rPr>
                <w:i/>
                <w:iCs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6F07ED">
              <w:rPr>
                <w:i/>
                <w:iCs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6F07ED">
              <w:rPr>
                <w:i/>
                <w:iCs/>
                <w:color w:val="000000" w:themeColor="text1"/>
                <w:sz w:val="20"/>
                <w:szCs w:val="20"/>
              </w:rPr>
              <w:t xml:space="preserve">. индивидуальными застройщиками </w:t>
            </w:r>
          </w:p>
        </w:tc>
      </w:tr>
      <w:tr w:rsidR="006F07ED" w:rsidRPr="006F07ED" w:rsidTr="005E0D13">
        <w:trPr>
          <w:trHeight w:val="307"/>
          <w:tblCellSpacing w:w="22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Pr="006F07ED" w:rsidRDefault="004D25E9" w:rsidP="00C16BE9">
            <w:pPr>
              <w:spacing w:before="40" w:after="100" w:afterAutospacing="1" w:line="228" w:lineRule="auto"/>
              <w:ind w:firstLine="441"/>
              <w:rPr>
                <w:color w:val="000000" w:themeColor="text1"/>
                <w:sz w:val="24"/>
                <w:szCs w:val="24"/>
              </w:rPr>
            </w:pPr>
            <w:r w:rsidRPr="006F07ED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C16BE9" w:rsidRPr="006F07E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6F07ED">
              <w:rPr>
                <w:b/>
                <w:bCs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Pr="006F07ED" w:rsidRDefault="004D25E9" w:rsidP="00A56856">
            <w:pPr>
              <w:spacing w:before="40" w:line="228" w:lineRule="auto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 w:rsidRPr="006F07E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Pr="006F07ED" w:rsidRDefault="004D25E9" w:rsidP="00A56856">
            <w:pPr>
              <w:spacing w:before="40" w:line="228" w:lineRule="auto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 w:rsidRPr="006F07E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Pr="006F07ED" w:rsidRDefault="004D25E9" w:rsidP="00A56856">
            <w:pPr>
              <w:spacing w:before="40" w:line="228" w:lineRule="auto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 w:rsidRPr="006F07E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Pr="006F07ED" w:rsidRDefault="004D25E9" w:rsidP="00A56856">
            <w:pPr>
              <w:spacing w:before="40" w:line="228" w:lineRule="auto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 w:rsidRPr="006F07ED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6F07ED" w:rsidRPr="006F07ED" w:rsidTr="005E0D13">
        <w:trPr>
          <w:trHeight w:val="20"/>
          <w:tblCellSpacing w:w="22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Pr="006F07ED" w:rsidRDefault="004D25E9" w:rsidP="00A56856">
            <w:pPr>
              <w:pStyle w:val="4"/>
              <w:rPr>
                <w:color w:val="000000" w:themeColor="text1"/>
              </w:rPr>
            </w:pPr>
            <w:r w:rsidRPr="006F07ED">
              <w:rPr>
                <w:color w:val="000000" w:themeColor="text1"/>
              </w:rPr>
              <w:t> январь-март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Pr="006F07ED" w:rsidRDefault="00C16B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22989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Pr="006F07ED" w:rsidRDefault="00C16B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Pr="006F07ED" w:rsidRDefault="004D25E9" w:rsidP="00C16BE9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16BE9" w:rsidRPr="006F0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Pr="006F07ED" w:rsidRDefault="00C16B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1239,5</w:t>
            </w:r>
          </w:p>
        </w:tc>
      </w:tr>
      <w:tr w:rsidR="006F07ED" w:rsidRPr="006F07ED" w:rsidTr="005E0D13">
        <w:trPr>
          <w:trHeight w:val="20"/>
          <w:tblCellSpacing w:w="22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6F07ED" w:rsidRDefault="004D25E9" w:rsidP="00A56856">
            <w:pPr>
              <w:pStyle w:val="4"/>
              <w:rPr>
                <w:color w:val="000000" w:themeColor="text1"/>
              </w:rPr>
            </w:pPr>
            <w:r w:rsidRPr="006F07ED">
              <w:rPr>
                <w:color w:val="000000" w:themeColor="text1"/>
              </w:rPr>
              <w:t xml:space="preserve"> январь-июнь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6F07ED" w:rsidRDefault="00C16B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33598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6F07ED" w:rsidRDefault="00C16B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6F07ED" w:rsidRDefault="004D25E9" w:rsidP="00C16BE9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16BE9" w:rsidRPr="006F0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6F07ED" w:rsidRDefault="00C16B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392,5</w:t>
            </w:r>
          </w:p>
        </w:tc>
      </w:tr>
      <w:tr w:rsidR="006F07ED" w:rsidRPr="006F07ED" w:rsidTr="005E0D13">
        <w:trPr>
          <w:trHeight w:val="20"/>
          <w:tblCellSpacing w:w="22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0D13" w:rsidRPr="006F07ED" w:rsidRDefault="005E0D13" w:rsidP="00F06E55">
            <w:pPr>
              <w:pStyle w:val="4"/>
              <w:rPr>
                <w:color w:val="000000" w:themeColor="text1"/>
              </w:rPr>
            </w:pPr>
            <w:r w:rsidRPr="006F07ED">
              <w:rPr>
                <w:color w:val="000000" w:themeColor="text1"/>
              </w:rPr>
              <w:t>январь-сентябрь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0D13" w:rsidRPr="006F07ED" w:rsidRDefault="005E0D13" w:rsidP="00F06E55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38084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0D13" w:rsidRPr="006F07ED" w:rsidRDefault="005E0D13" w:rsidP="00F06E55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0D13" w:rsidRPr="006F07ED" w:rsidRDefault="005E0D13" w:rsidP="00F06E55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0D13" w:rsidRPr="006F07ED" w:rsidRDefault="005E0D13" w:rsidP="00F06E55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248,9</w:t>
            </w:r>
          </w:p>
        </w:tc>
      </w:tr>
      <w:tr w:rsidR="006F07ED" w:rsidRPr="006F07ED" w:rsidTr="005E0D13">
        <w:trPr>
          <w:trHeight w:val="20"/>
          <w:tblCellSpacing w:w="22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0D13" w:rsidRPr="006F07ED" w:rsidRDefault="005E0D13" w:rsidP="005E0D13">
            <w:pPr>
              <w:pStyle w:val="4"/>
              <w:rPr>
                <w:color w:val="000000" w:themeColor="text1"/>
              </w:rPr>
            </w:pPr>
            <w:r w:rsidRPr="006F07ED">
              <w:rPr>
                <w:color w:val="000000" w:themeColor="text1"/>
              </w:rPr>
              <w:t>январь-декабрь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0D13" w:rsidRPr="006F07ED" w:rsidRDefault="005E0D13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52171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0D13" w:rsidRPr="006F07ED" w:rsidRDefault="005E0D13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23989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0D13" w:rsidRPr="006F07ED" w:rsidRDefault="005E0D13" w:rsidP="00CD1404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103,1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0D13" w:rsidRPr="006F07ED" w:rsidRDefault="005E0D13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203,5</w:t>
            </w:r>
          </w:p>
        </w:tc>
      </w:tr>
    </w:tbl>
    <w:p w:rsidR="004D25E9" w:rsidRPr="006F07ED" w:rsidRDefault="004D25E9" w:rsidP="008D6C4D">
      <w:pPr>
        <w:pStyle w:val="a7"/>
        <w:spacing w:before="0" w:beforeAutospacing="0" w:after="0" w:afterAutospacing="0" w:line="360" w:lineRule="auto"/>
        <w:ind w:left="-363"/>
        <w:jc w:val="both"/>
        <w:rPr>
          <w:color w:val="000000" w:themeColor="text1"/>
          <w:sz w:val="28"/>
          <w:szCs w:val="28"/>
        </w:rPr>
      </w:pPr>
    </w:p>
    <w:p w:rsidR="00347956" w:rsidRPr="006F07ED" w:rsidRDefault="008B4C55" w:rsidP="003A079E">
      <w:pPr>
        <w:pStyle w:val="a7"/>
        <w:spacing w:before="0" w:beforeAutospacing="0" w:after="0" w:afterAutospacing="0" w:line="360" w:lineRule="auto"/>
        <w:ind w:left="-340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        </w:t>
      </w:r>
      <w:r w:rsidR="00347956" w:rsidRPr="006F07ED">
        <w:rPr>
          <w:color w:val="000000" w:themeColor="text1"/>
          <w:sz w:val="28"/>
          <w:szCs w:val="28"/>
        </w:rPr>
        <w:t xml:space="preserve">Из объектов социальной инфраструктуры </w:t>
      </w:r>
      <w:proofErr w:type="gramStart"/>
      <w:r w:rsidR="00347956" w:rsidRPr="006F07ED">
        <w:rPr>
          <w:color w:val="000000" w:themeColor="text1"/>
          <w:sz w:val="28"/>
          <w:szCs w:val="28"/>
        </w:rPr>
        <w:t>в  201</w:t>
      </w:r>
      <w:r w:rsidR="005221C8" w:rsidRPr="006F07ED">
        <w:rPr>
          <w:color w:val="000000" w:themeColor="text1"/>
          <w:sz w:val="28"/>
          <w:szCs w:val="28"/>
        </w:rPr>
        <w:t>6</w:t>
      </w:r>
      <w:proofErr w:type="gramEnd"/>
      <w:r w:rsidR="00347956" w:rsidRPr="006F07ED">
        <w:rPr>
          <w:color w:val="000000" w:themeColor="text1"/>
          <w:sz w:val="28"/>
          <w:szCs w:val="28"/>
        </w:rPr>
        <w:t xml:space="preserve"> год</w:t>
      </w:r>
      <w:r w:rsidR="00240811" w:rsidRPr="006F07ED">
        <w:rPr>
          <w:color w:val="000000" w:themeColor="text1"/>
          <w:sz w:val="28"/>
          <w:szCs w:val="28"/>
        </w:rPr>
        <w:t>у</w:t>
      </w:r>
      <w:r w:rsidR="00347956" w:rsidRPr="006F07ED">
        <w:rPr>
          <w:color w:val="000000" w:themeColor="text1"/>
          <w:sz w:val="28"/>
          <w:szCs w:val="28"/>
        </w:rPr>
        <w:t xml:space="preserve"> по разрешениям на ввод в эксплуатацию, оформленным в установленном порядке, введены в действие: </w:t>
      </w:r>
      <w:proofErr w:type="spellStart"/>
      <w:r w:rsidR="005221C8" w:rsidRPr="006F07ED">
        <w:rPr>
          <w:color w:val="000000" w:themeColor="text1"/>
          <w:sz w:val="28"/>
          <w:szCs w:val="28"/>
        </w:rPr>
        <w:t>лыжероллерная</w:t>
      </w:r>
      <w:proofErr w:type="spellEnd"/>
      <w:r w:rsidR="005221C8" w:rsidRPr="006F07ED">
        <w:rPr>
          <w:color w:val="000000" w:themeColor="text1"/>
          <w:sz w:val="28"/>
          <w:szCs w:val="28"/>
        </w:rPr>
        <w:t xml:space="preserve"> трасса </w:t>
      </w:r>
      <w:r w:rsidR="005221C8" w:rsidRPr="006F07ED">
        <w:rPr>
          <w:color w:val="000000" w:themeColor="text1"/>
          <w:sz w:val="28"/>
          <w:szCs w:val="28"/>
          <w:lang w:val="en-US"/>
        </w:rPr>
        <w:t>II</w:t>
      </w:r>
      <w:r w:rsidR="005221C8" w:rsidRPr="006F07ED">
        <w:rPr>
          <w:color w:val="000000" w:themeColor="text1"/>
          <w:sz w:val="28"/>
          <w:szCs w:val="28"/>
        </w:rPr>
        <w:t>этап</w:t>
      </w:r>
      <w:r w:rsidR="00124560" w:rsidRPr="006F07ED">
        <w:rPr>
          <w:color w:val="000000" w:themeColor="text1"/>
          <w:sz w:val="28"/>
          <w:szCs w:val="28"/>
        </w:rPr>
        <w:t xml:space="preserve">, </w:t>
      </w:r>
      <w:r w:rsidR="005221C8" w:rsidRPr="006F07ED">
        <w:rPr>
          <w:color w:val="000000" w:themeColor="text1"/>
          <w:sz w:val="28"/>
          <w:szCs w:val="28"/>
        </w:rPr>
        <w:t xml:space="preserve"> </w:t>
      </w:r>
      <w:r w:rsidR="00240811" w:rsidRPr="006F07ED">
        <w:rPr>
          <w:color w:val="000000" w:themeColor="text1"/>
          <w:sz w:val="28"/>
          <w:szCs w:val="28"/>
        </w:rPr>
        <w:t xml:space="preserve">5 </w:t>
      </w:r>
      <w:r w:rsidRPr="006F07ED">
        <w:rPr>
          <w:color w:val="000000" w:themeColor="text1"/>
          <w:sz w:val="28"/>
          <w:szCs w:val="28"/>
        </w:rPr>
        <w:t xml:space="preserve">объектов розничной торговли площадью </w:t>
      </w:r>
      <w:r w:rsidR="00240811" w:rsidRPr="006F07ED">
        <w:rPr>
          <w:color w:val="000000" w:themeColor="text1"/>
          <w:sz w:val="28"/>
          <w:szCs w:val="28"/>
        </w:rPr>
        <w:t>6,7</w:t>
      </w:r>
      <w:r w:rsidRPr="006F07ED">
        <w:rPr>
          <w:color w:val="000000" w:themeColor="text1"/>
          <w:sz w:val="28"/>
          <w:szCs w:val="28"/>
        </w:rPr>
        <w:t xml:space="preserve"> тыс. кв. метров</w:t>
      </w:r>
      <w:r w:rsidR="00124560" w:rsidRPr="006F07ED">
        <w:rPr>
          <w:color w:val="000000" w:themeColor="text1"/>
          <w:sz w:val="28"/>
          <w:szCs w:val="28"/>
        </w:rPr>
        <w:t xml:space="preserve">. </w:t>
      </w:r>
    </w:p>
    <w:p w:rsidR="00124560" w:rsidRPr="006F07ED" w:rsidRDefault="00EF461E" w:rsidP="003A079E">
      <w:pPr>
        <w:spacing w:after="0" w:line="360" w:lineRule="auto"/>
        <w:ind w:left="-3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Предпринимателями реализованы следующие инвестиционные проекты: сданы в эксплуацию -  цех по производству полуфабрикатов ООО «Мясокомбинат «Золотой Рог»</w:t>
      </w:r>
      <w:r w:rsidR="004C3B46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площадью</w:t>
      </w:r>
      <w:r w:rsidR="004C3B46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2249,6 кв. метров, объем инвестиций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29,8 млн. рублей; асфальтобетонный завод –объем инвестиций</w:t>
      </w:r>
      <w:r w:rsidR="00124560" w:rsidRPr="006F07ED">
        <w:rPr>
          <w:color w:val="000000" w:themeColor="text1"/>
          <w:sz w:val="28"/>
          <w:szCs w:val="28"/>
        </w:rPr>
        <w:t xml:space="preserve"> </w:t>
      </w:r>
      <w:r w:rsidR="00124560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35 млн. рублей и кислородный завод – объем инвестиций 15 млн. рублей – ООО ЗПИ «Альтернатива»</w:t>
      </w:r>
      <w:r w:rsidR="004C3B46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C3B46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автосервисный</w:t>
      </w:r>
      <w:proofErr w:type="spellEnd"/>
      <w:r w:rsidR="004C3B46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площадью 296 кв. метров- объем инвестиций 5 млн. рублей, гараж-стоянка на 5 автомобилей площадью 350,2 кв.</w:t>
      </w:r>
      <w:r w:rsidR="00AA4F32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B46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A4F32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етров</w:t>
      </w:r>
      <w:r w:rsidR="004C3B46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–объем инвестиций 9,4 млн. рублей</w:t>
      </w:r>
      <w:r w:rsidR="00124560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15E8" w:rsidRPr="006F07ED" w:rsidRDefault="00DB2777" w:rsidP="008D6C4D">
      <w:pPr>
        <w:spacing w:after="0" w:line="360" w:lineRule="auto"/>
        <w:ind w:left="-36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республиканского бюджета продолжалось финансирование строительства объектов </w:t>
      </w:r>
      <w:r w:rsidR="004C3B46" w:rsidRPr="006F07ED">
        <w:rPr>
          <w:rFonts w:ascii="Times New Roman" w:hAnsi="Times New Roman"/>
          <w:color w:val="000000" w:themeColor="text1"/>
          <w:sz w:val="28"/>
          <w:szCs w:val="28"/>
        </w:rPr>
        <w:t>коммунальной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сферы.  На  </w:t>
      </w:r>
      <w:r w:rsidR="004C3B46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электроснабжение микрорайона 38  из бюджета Республики Башкортостан направлено </w:t>
      </w:r>
      <w:r w:rsidR="00462CF9" w:rsidRPr="006F07ED">
        <w:rPr>
          <w:rFonts w:ascii="Times New Roman" w:hAnsi="Times New Roman"/>
          <w:color w:val="000000" w:themeColor="text1"/>
          <w:sz w:val="28"/>
          <w:szCs w:val="28"/>
        </w:rPr>
        <w:t>26,99</w:t>
      </w:r>
      <w:r w:rsidR="004C3B46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млн. рублей. 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ED0CC6" w:rsidRPr="006F07ED" w:rsidRDefault="00875FC5" w:rsidP="001E7F55">
      <w:pPr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DB2777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Для реализации жилищных прав граждан, переселяемых из ветхих и аварийных домов в соответствии с Программой переселения граждан из ветхих и аварийных домов, </w:t>
      </w:r>
      <w:r w:rsidR="00FA3835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в 2016 году </w:t>
      </w:r>
      <w:proofErr w:type="gramStart"/>
      <w:r w:rsidR="00FA3835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снесены </w:t>
      </w:r>
      <w:r w:rsidR="00DB2777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11</w:t>
      </w:r>
      <w:proofErr w:type="gramEnd"/>
      <w:r w:rsidR="00DB2777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многоквартирных жилых домов площадью  </w:t>
      </w:r>
      <w:r w:rsidR="00FA3835" w:rsidRPr="006F07ED">
        <w:rPr>
          <w:rFonts w:ascii="Times New Roman" w:hAnsi="Times New Roman"/>
          <w:color w:val="000000" w:themeColor="text1"/>
          <w:sz w:val="28"/>
          <w:szCs w:val="28"/>
        </w:rPr>
        <w:t>5355,5</w:t>
      </w:r>
      <w:r w:rsidR="00DB2777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кв. метров. Для переселения горожан приобретен</w:t>
      </w:r>
      <w:r w:rsidR="00FA3835" w:rsidRPr="006F07E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B2777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3835" w:rsidRPr="006F07ED">
        <w:rPr>
          <w:rFonts w:ascii="Times New Roman" w:hAnsi="Times New Roman"/>
          <w:color w:val="000000" w:themeColor="text1"/>
          <w:sz w:val="28"/>
          <w:szCs w:val="28"/>
        </w:rPr>
        <w:t>131</w:t>
      </w:r>
      <w:r w:rsidR="00DB2777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квартир</w:t>
      </w:r>
      <w:r w:rsidR="00FA3835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B2777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 w:rsidR="00FA3835" w:rsidRPr="006F07ED">
        <w:rPr>
          <w:rFonts w:ascii="Times New Roman" w:hAnsi="Times New Roman"/>
          <w:color w:val="000000" w:themeColor="text1"/>
          <w:sz w:val="28"/>
          <w:szCs w:val="28"/>
        </w:rPr>
        <w:t>6343</w:t>
      </w:r>
      <w:r w:rsidR="00DB2777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,9 кв. метров: </w:t>
      </w:r>
      <w:r w:rsidR="00FA3835" w:rsidRPr="006F07ED">
        <w:rPr>
          <w:rFonts w:ascii="Times New Roman" w:hAnsi="Times New Roman"/>
          <w:color w:val="000000" w:themeColor="text1"/>
          <w:sz w:val="28"/>
          <w:szCs w:val="28"/>
        </w:rPr>
        <w:t>61</w:t>
      </w:r>
      <w:r w:rsidR="00DB2777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двухкомнатн</w:t>
      </w:r>
      <w:r w:rsidR="00FA3835" w:rsidRPr="006F07ED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DB2777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A3835" w:rsidRPr="006F07ED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DB2777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однокомнатных и </w:t>
      </w:r>
      <w:r w:rsidR="00FA3835" w:rsidRPr="006F07ED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DB2777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трехкомнатных  квартир. Объем средств, направляемых на выполнение программы, составил</w:t>
      </w:r>
      <w:r w:rsidR="00CD50BA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3835" w:rsidRPr="006F07ED">
        <w:rPr>
          <w:rFonts w:ascii="Times New Roman" w:hAnsi="Times New Roman"/>
          <w:color w:val="000000" w:themeColor="text1"/>
          <w:sz w:val="28"/>
          <w:szCs w:val="28"/>
        </w:rPr>
        <w:t>208,</w:t>
      </w:r>
      <w:proofErr w:type="gramStart"/>
      <w:r w:rsidR="00FA3835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7 </w:t>
      </w:r>
      <w:r w:rsidR="00DB2777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млн.</w:t>
      </w:r>
      <w:proofErr w:type="gramEnd"/>
      <w:r w:rsidR="00DB2777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  <w:r w:rsidR="00ED0CC6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Жилищные условия улучшили 131 человек. </w:t>
      </w:r>
    </w:p>
    <w:p w:rsidR="00ED0CC6" w:rsidRPr="006F07ED" w:rsidRDefault="00ED0CC6" w:rsidP="001E7F55">
      <w:pPr>
        <w:spacing w:after="0" w:line="360" w:lineRule="auto"/>
        <w:ind w:left="-3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Четвертым этапом Программы предусмотрен  снос 19 многоквартирных домов (178 квартир) площадью 8,4 тыс. кв. метров. Объявлены и </w:t>
      </w:r>
      <w:proofErr w:type="gram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 44</w:t>
      </w:r>
      <w:proofErr w:type="gramEnd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открытых аукциона на приобретение жилых помещений.  Сформированы учетные дела по 178 жилым помещениям в 19 многоквартирных</w:t>
      </w:r>
      <w:r w:rsidRPr="006F07ED">
        <w:rPr>
          <w:color w:val="000000" w:themeColor="text1"/>
          <w:sz w:val="28"/>
          <w:szCs w:val="28"/>
        </w:rPr>
        <w:t xml:space="preserve">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домах</w:t>
      </w:r>
      <w:r w:rsidR="006A1A69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6DA9" w:rsidRPr="006F07ED" w:rsidRDefault="00096DA9" w:rsidP="00096DA9">
      <w:pPr>
        <w:pStyle w:val="a7"/>
        <w:spacing w:before="0" w:beforeAutospacing="0" w:after="0" w:afterAutospacing="0" w:line="360" w:lineRule="auto"/>
        <w:ind w:firstLine="284"/>
        <w:jc w:val="both"/>
        <w:rPr>
          <w:b/>
          <w:color w:val="000000" w:themeColor="text1"/>
          <w:sz w:val="28"/>
          <w:szCs w:val="28"/>
        </w:rPr>
      </w:pPr>
      <w:r w:rsidRPr="006F07ED">
        <w:rPr>
          <w:b/>
          <w:color w:val="000000" w:themeColor="text1"/>
          <w:sz w:val="28"/>
          <w:szCs w:val="28"/>
        </w:rPr>
        <w:t>Транспорт</w:t>
      </w:r>
    </w:p>
    <w:p w:rsidR="00335AD9" w:rsidRPr="006F07ED" w:rsidRDefault="00335AD9" w:rsidP="00335AD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В 2016 году перевезено 6426,3 тыс. пассажиров, в том числе 41 маршрутным автобусом некоммерческого партнерства «Пассажир-Сервис» </w:t>
      </w:r>
    </w:p>
    <w:p w:rsidR="00335AD9" w:rsidRPr="006F07ED" w:rsidRDefault="00335AD9" w:rsidP="00335AD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>3735,2 тыс. человек и 89 маршрутными автобусами Октябрьского ПАТП Филиал ГУП «</w:t>
      </w:r>
      <w:proofErr w:type="spellStart"/>
      <w:r w:rsidRPr="006F07ED">
        <w:rPr>
          <w:rFonts w:ascii="Times New Roman" w:hAnsi="Times New Roman"/>
          <w:color w:val="000000" w:themeColor="text1"/>
          <w:sz w:val="28"/>
          <w:szCs w:val="28"/>
        </w:rPr>
        <w:t>Башавтотранс</w:t>
      </w:r>
      <w:proofErr w:type="spell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» – 2691,1 тыс. человек. </w:t>
      </w:r>
    </w:p>
    <w:p w:rsidR="002F39F3" w:rsidRPr="006F07ED" w:rsidRDefault="002F39F3" w:rsidP="008D6C4D">
      <w:pPr>
        <w:spacing w:after="0" w:line="360" w:lineRule="auto"/>
        <w:ind w:left="-363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Жилищно-коммунальный комплекс</w:t>
      </w:r>
    </w:p>
    <w:p w:rsidR="00A41281" w:rsidRPr="006F07ED" w:rsidRDefault="00A41281" w:rsidP="00A41281">
      <w:pPr>
        <w:tabs>
          <w:tab w:val="left" w:pos="720"/>
        </w:tabs>
        <w:spacing w:after="0" w:line="360" w:lineRule="auto"/>
        <w:ind w:left="-340" w:firstLine="72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целями и задачами деятельности администрации городского округа в сфере жилищно-коммунального хозяйства является обеспечение потребителей городского округа необходимым набором коммунальных услуг 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нормативного качества при надежной и эффективной работе коммунальной инфраструктуры городского округа. </w:t>
      </w:r>
    </w:p>
    <w:p w:rsidR="0073212E" w:rsidRPr="006F07ED" w:rsidRDefault="002F39F3" w:rsidP="0073212E">
      <w:pPr>
        <w:tabs>
          <w:tab w:val="left" w:pos="0"/>
          <w:tab w:val="left" w:pos="1903"/>
        </w:tabs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12E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округ город Октябрьский Республики Башкортостан характеризуется наличием развитой инфраструктуры и высокой комфортностью проживания. Благоустроенный жилищный фонд городского округа составляет 2600,6 тыс. кв. метров. Это 801 многоквартирный, 7940 индивидуальных жилых домов. Город обладает разветвленной системой инженерных коммуникаций, централизованно и в полном объеме обеспечивающей жилой фонд, производственный и социальный секторы городского хозяйства тепло -, </w:t>
      </w:r>
      <w:proofErr w:type="spellStart"/>
      <w:r w:rsidR="0073212E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водо</w:t>
      </w:r>
      <w:proofErr w:type="spellEnd"/>
      <w:r w:rsidR="0073212E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-, электро- и газоснабжением.</w:t>
      </w:r>
    </w:p>
    <w:p w:rsidR="0073212E" w:rsidRPr="006F07ED" w:rsidRDefault="0073212E" w:rsidP="0073212E">
      <w:pPr>
        <w:suppressAutoHyphens/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теплоснабжающее предприятие городского округа - ОАО «Октябрьсктеплоэнерго». За  2016 год  котельными предприятия  выработано  608,2  тыс. Гкал  тепловой энергии  и реализовано  тепловой энергии   на общую сумму 636,5 млн. рублей.  </w:t>
      </w:r>
    </w:p>
    <w:p w:rsidR="0073212E" w:rsidRPr="006F07ED" w:rsidRDefault="0073212E" w:rsidP="0073212E">
      <w:pPr>
        <w:suppressAutoHyphens/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«Октябрьсктеплоэнерго» по договору аренды  обслуживает  22 котельных, 14 ЦТП (центральные тепловые пункты), 149,6 км (в двухтрубном исчислении) тепловых сетей, сетей горячего водоснабжения и паропроводов.  В котельных установлено 83 </w:t>
      </w:r>
      <w:r w:rsidR="007735E7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иницы автоматизированных котлов суммарной мощностью  485,494 Гкал/час.</w:t>
      </w:r>
    </w:p>
    <w:p w:rsidR="0073212E" w:rsidRPr="006F07ED" w:rsidRDefault="0073212E" w:rsidP="0073212E">
      <w:pPr>
        <w:suppressAutoHyphens/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МУП «Октябрьсккоммунводоканал» обслуживает </w:t>
      </w:r>
      <w:r w:rsidR="007735E7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437,42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км водопроводных сетей, </w:t>
      </w:r>
      <w:r w:rsidR="007735E7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142,05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 сетей водоотведения. Установленная производственная мощность водопровода составляет 40 тыс. куб. м в сутки. Установленная пропускная способность очистных сооружений  городского округа составляет 42,7 тыс. куб. м в сутки.</w:t>
      </w:r>
      <w:r w:rsidR="007735E7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года предприятием реализовано7015 тыс. куб. метров воды всем категориям потребителей, из которых  населению - 4822 тыс. куб. метров. </w:t>
      </w:r>
    </w:p>
    <w:p w:rsidR="0073212E" w:rsidRPr="006F07ED" w:rsidRDefault="0073212E" w:rsidP="0073212E">
      <w:pPr>
        <w:suppressAutoHyphens/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ОАО «Октябрьские электрические сети» обслуживает 243 трансформаторные подстанции, 396 силовых трансформаторов, 408 км воздушных линий электропередачи 10-6-04кВ</w:t>
      </w:r>
      <w:r w:rsidR="007735E7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245,520 км линий уличного </w:t>
      </w:r>
      <w:r w:rsidR="007735E7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освещения и 316 км кабельных линий 10-6-0,4кВ. За 2016 год реализовано 203584,</w:t>
      </w:r>
      <w:proofErr w:type="gramStart"/>
      <w:r w:rsidR="007735E7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1A03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тыс.кВт.ч</w:t>
      </w:r>
      <w:proofErr w:type="spellEnd"/>
      <w:proofErr w:type="gramEnd"/>
      <w:r w:rsidR="00991A03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97,6% к показателю 2015 года. </w:t>
      </w:r>
    </w:p>
    <w:p w:rsidR="00CC0AF6" w:rsidRPr="006F07ED" w:rsidRDefault="00CC0AF6" w:rsidP="00CC0AF6">
      <w:pPr>
        <w:autoSpaceDE w:val="0"/>
        <w:autoSpaceDN w:val="0"/>
        <w:adjustRightInd w:val="0"/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Планом на 2016 год  предусматривалось проведение капитального ремонта 76 многоквартирных домов. За январь-декабрь текущего года завершены работы по капитальному ремонту всех 76  многоквартирных жилых домов на сумму 139,3 млн. рублей. </w:t>
      </w:r>
    </w:p>
    <w:p w:rsidR="0073212E" w:rsidRPr="006F07ED" w:rsidRDefault="0073212E" w:rsidP="0073212E">
      <w:pPr>
        <w:pStyle w:val="a7"/>
        <w:suppressAutoHyphens/>
        <w:spacing w:before="0" w:beforeAutospacing="0" w:after="0" w:afterAutospacing="0" w:line="360" w:lineRule="auto"/>
        <w:ind w:left="-340" w:firstLine="709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>Общая протяженность городских дорог составляет 297 км, из них 100% с твердым покрытием</w:t>
      </w:r>
      <w:r w:rsidR="001F26E7" w:rsidRPr="006F07ED">
        <w:rPr>
          <w:color w:val="000000" w:themeColor="text1"/>
          <w:sz w:val="28"/>
          <w:szCs w:val="28"/>
        </w:rPr>
        <w:t>.</w:t>
      </w:r>
      <w:r w:rsidRPr="006F07ED">
        <w:rPr>
          <w:color w:val="000000" w:themeColor="text1"/>
          <w:sz w:val="28"/>
          <w:szCs w:val="28"/>
        </w:rPr>
        <w:t xml:space="preserve">  Сеть городских дорог обеспечена всеми необходимыми дорожными сооружениями, техническими средствами регулирования движения. </w:t>
      </w:r>
    </w:p>
    <w:p w:rsidR="00242AB1" w:rsidRPr="006F07ED" w:rsidRDefault="00242AB1" w:rsidP="0073212E">
      <w:pPr>
        <w:pStyle w:val="a7"/>
        <w:suppressAutoHyphens/>
        <w:spacing w:before="0" w:beforeAutospacing="0" w:after="0" w:afterAutospacing="0" w:line="360" w:lineRule="auto"/>
        <w:ind w:left="-340" w:firstLine="709"/>
        <w:jc w:val="both"/>
        <w:rPr>
          <w:b/>
          <w:color w:val="000000" w:themeColor="text1"/>
          <w:sz w:val="28"/>
          <w:szCs w:val="28"/>
        </w:rPr>
      </w:pPr>
      <w:r w:rsidRPr="006F07ED">
        <w:rPr>
          <w:b/>
          <w:color w:val="000000" w:themeColor="text1"/>
          <w:sz w:val="28"/>
          <w:szCs w:val="28"/>
        </w:rPr>
        <w:t>Связь</w:t>
      </w:r>
    </w:p>
    <w:p w:rsidR="0051544E" w:rsidRPr="006F07ED" w:rsidRDefault="0051544E" w:rsidP="0051544E">
      <w:pPr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На территории городского округа функционируют 3 телефонные станции ОАО «Башинформсвязь»</w:t>
      </w:r>
      <w:r w:rsidR="00C2315F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(справочно: 2015 год-4 телефонные станции). Общая монтированная емкость телефонной станции составляет 26616 номеров. Плотность телефонов в расчете на 100 жителей за 2016 </w:t>
      </w:r>
      <w:proofErr w:type="gram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год  составила</w:t>
      </w:r>
      <w:proofErr w:type="gramEnd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23,4 единицы. </w:t>
      </w:r>
    </w:p>
    <w:p w:rsidR="0072735A" w:rsidRPr="006F07ED" w:rsidRDefault="0072735A" w:rsidP="0051544E">
      <w:pPr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901" w:rsidRPr="006F07ED" w:rsidRDefault="00282901" w:rsidP="009A7537">
      <w:pPr>
        <w:shd w:val="clear" w:color="auto" w:fill="FFFFFF"/>
        <w:suppressAutoHyphens/>
        <w:spacing w:after="0" w:line="360" w:lineRule="auto"/>
        <w:ind w:left="-3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Социальное развитие</w:t>
      </w:r>
    </w:p>
    <w:p w:rsidR="00A15099" w:rsidRPr="006F07ED" w:rsidRDefault="00A15099" w:rsidP="009A7537">
      <w:pPr>
        <w:shd w:val="clear" w:color="auto" w:fill="FFFFFF"/>
        <w:suppressAutoHyphens/>
        <w:spacing w:after="0" w:line="360" w:lineRule="auto"/>
        <w:ind w:left="-3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Демографическая ситуация</w:t>
      </w:r>
    </w:p>
    <w:p w:rsidR="00A15099" w:rsidRPr="006F07ED" w:rsidRDefault="00A15099" w:rsidP="009A7537">
      <w:pPr>
        <w:spacing w:after="0" w:line="360" w:lineRule="auto"/>
        <w:ind w:left="-36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>В  2016 году наблюдались положительные тенденции в развитии демографической ситуации, и характеризуются ростом численности населения городского округа.</w:t>
      </w:r>
    </w:p>
    <w:p w:rsidR="00A15099" w:rsidRPr="006F07ED" w:rsidRDefault="00A15099" w:rsidP="009A7537">
      <w:pPr>
        <w:suppressAutoHyphens/>
        <w:spacing w:after="0" w:line="360" w:lineRule="auto"/>
        <w:ind w:left="-36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>Так, в отчетном  году численность населения городского округа увеличилась на 307 человек по отношению к   2015 году и составила 113933 человека.</w:t>
      </w:r>
    </w:p>
    <w:p w:rsidR="00A15099" w:rsidRPr="006F07ED" w:rsidRDefault="00A15099" w:rsidP="009A7537">
      <w:pPr>
        <w:suppressAutoHyphens/>
        <w:spacing w:after="0" w:line="360" w:lineRule="auto"/>
        <w:ind w:left="-36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Важнейшей составляющей демографических процессов является рождаемость населения</w:t>
      </w:r>
      <w:r w:rsidRPr="006F07ED">
        <w:rPr>
          <w:color w:val="000000" w:themeColor="text1"/>
        </w:rPr>
        <w:t>.</w:t>
      </w:r>
    </w:p>
    <w:p w:rsidR="00A15099" w:rsidRPr="006F07ED" w:rsidRDefault="00A15099" w:rsidP="009A7537">
      <w:pPr>
        <w:suppressAutoHyphens/>
        <w:spacing w:after="0" w:line="360" w:lineRule="auto"/>
        <w:ind w:left="-36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F07ED">
        <w:rPr>
          <w:rFonts w:ascii="Times New Roman" w:hAnsi="Times New Roman"/>
          <w:color w:val="000000" w:themeColor="text1"/>
          <w:sz w:val="28"/>
          <w:szCs w:val="28"/>
        </w:rPr>
        <w:t>За  2016</w:t>
      </w:r>
      <w:proofErr w:type="gram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год в городском округе родился 1591 младенец, что на  108 младенцев  или 6,4% меньше  2015 года. </w:t>
      </w:r>
    </w:p>
    <w:p w:rsidR="0072735A" w:rsidRPr="006F07ED" w:rsidRDefault="0072735A" w:rsidP="00A15099">
      <w:pPr>
        <w:suppressAutoHyphens/>
        <w:spacing w:after="0" w:line="360" w:lineRule="auto"/>
        <w:ind w:left="-36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735A" w:rsidRPr="006F07ED" w:rsidRDefault="0072735A" w:rsidP="00A15099">
      <w:pPr>
        <w:suppressAutoHyphens/>
        <w:spacing w:after="0" w:line="360" w:lineRule="auto"/>
        <w:ind w:left="-36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5099" w:rsidRPr="006F07ED" w:rsidRDefault="00A15099" w:rsidP="0072735A">
      <w:pPr>
        <w:spacing w:after="0"/>
        <w:ind w:firstLine="708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lastRenderedPageBreak/>
        <w:t xml:space="preserve">Естественный прирост населения городского округа </w:t>
      </w:r>
    </w:p>
    <w:p w:rsidR="00A15099" w:rsidRPr="006F07ED" w:rsidRDefault="00A15099" w:rsidP="0072735A">
      <w:pPr>
        <w:spacing w:after="0"/>
        <w:ind w:firstLine="708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color w:val="000000" w:themeColor="text1"/>
          <w:sz w:val="26"/>
          <w:szCs w:val="26"/>
        </w:rPr>
        <w:t>(человек)</w:t>
      </w:r>
    </w:p>
    <w:p w:rsidR="00A15099" w:rsidRPr="006F07ED" w:rsidRDefault="00A15099" w:rsidP="00A15099">
      <w:pPr>
        <w:suppressAutoHyphens/>
        <w:spacing w:after="0" w:line="360" w:lineRule="auto"/>
        <w:ind w:left="-36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b/>
          <w:noProof/>
          <w:color w:val="000000" w:themeColor="text1"/>
          <w:sz w:val="34"/>
          <w:lang w:eastAsia="ru-RU"/>
        </w:rPr>
        <w:drawing>
          <wp:inline distT="0" distB="0" distL="0" distR="0" wp14:anchorId="4DF7F246" wp14:editId="3C163F52">
            <wp:extent cx="5553075" cy="24384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15099" w:rsidRPr="006F07ED" w:rsidRDefault="00A15099" w:rsidP="00A15099">
      <w:pPr>
        <w:suppressAutoHyphens/>
        <w:spacing w:after="0" w:line="360" w:lineRule="auto"/>
        <w:ind w:left="-36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В отчетном </w:t>
      </w:r>
      <w:proofErr w:type="gramStart"/>
      <w:r w:rsidRPr="006F07ED">
        <w:rPr>
          <w:rFonts w:ascii="Times New Roman" w:hAnsi="Times New Roman"/>
          <w:color w:val="000000" w:themeColor="text1"/>
          <w:sz w:val="28"/>
          <w:szCs w:val="28"/>
        </w:rPr>
        <w:t>году  снизился</w:t>
      </w:r>
      <w:proofErr w:type="gram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показатель смертности населения. В течение 2016 года  умерло 1246 человек, что на 84 человека или 6,3% меньше  уровня 2015 года. Естественный прирост населения городского округа составил +345 человек, против 369 человек  естественного прироста  населения за  2015 год. Число </w:t>
      </w:r>
      <w:proofErr w:type="gramStart"/>
      <w:r w:rsidRPr="006F07ED">
        <w:rPr>
          <w:rFonts w:ascii="Times New Roman" w:hAnsi="Times New Roman"/>
          <w:color w:val="000000" w:themeColor="text1"/>
          <w:sz w:val="28"/>
          <w:szCs w:val="28"/>
        </w:rPr>
        <w:t>родившихся  превысило</w:t>
      </w:r>
      <w:proofErr w:type="gram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число умерших на 27,7%.</w:t>
      </w:r>
    </w:p>
    <w:p w:rsidR="00A15099" w:rsidRPr="006F07ED" w:rsidRDefault="00A15099" w:rsidP="00A15099">
      <w:pPr>
        <w:suppressAutoHyphens/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В городской округ  в   2016 году  прибыло  3632  человека   и выбыло 3670 человек. </w:t>
      </w:r>
      <w:proofErr w:type="gram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2735A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играционная  убыль</w:t>
      </w:r>
      <w:proofErr w:type="gramEnd"/>
      <w:r w:rsidR="0072735A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составила 3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8 человек (</w:t>
      </w:r>
      <w:proofErr w:type="spell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</w:t>
      </w:r>
      <w:proofErr w:type="spellEnd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2015 год миграционный  прирост - 779 человек). </w:t>
      </w:r>
    </w:p>
    <w:p w:rsidR="00A15099" w:rsidRPr="006F07ED" w:rsidRDefault="00A15099" w:rsidP="00A15099">
      <w:pPr>
        <w:spacing w:after="0" w:line="360" w:lineRule="auto"/>
        <w:ind w:left="-36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>Миграционная подвижность (</w:t>
      </w:r>
      <w:proofErr w:type="spellStart"/>
      <w:r w:rsidRPr="006F07ED">
        <w:rPr>
          <w:rFonts w:ascii="Times New Roman" w:hAnsi="Times New Roman"/>
          <w:color w:val="000000" w:themeColor="text1"/>
          <w:sz w:val="28"/>
          <w:szCs w:val="28"/>
        </w:rPr>
        <w:t>прибывшие+выбывшие</w:t>
      </w:r>
      <w:proofErr w:type="spell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) по городскому округу за    2016 год по сравнению </w:t>
      </w:r>
      <w:proofErr w:type="gramStart"/>
      <w:r w:rsidRPr="006F07ED">
        <w:rPr>
          <w:rFonts w:ascii="Times New Roman" w:hAnsi="Times New Roman"/>
          <w:color w:val="000000" w:themeColor="text1"/>
          <w:sz w:val="28"/>
          <w:szCs w:val="28"/>
        </w:rPr>
        <w:t>с  прошлым</w:t>
      </w:r>
      <w:proofErr w:type="gram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годом сократилась  на 0,2%.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418"/>
        <w:gridCol w:w="1559"/>
      </w:tblGrid>
      <w:tr w:rsidR="006F07ED" w:rsidRPr="006F07ED" w:rsidTr="008A0057">
        <w:trPr>
          <w:trHeight w:val="1098"/>
        </w:trPr>
        <w:tc>
          <w:tcPr>
            <w:tcW w:w="3369" w:type="dxa"/>
            <w:shd w:val="clear" w:color="auto" w:fill="auto"/>
          </w:tcPr>
          <w:p w:rsidR="00A15099" w:rsidRPr="006F07ED" w:rsidRDefault="00A15099" w:rsidP="00CD50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15099" w:rsidRPr="006F07ED" w:rsidRDefault="00A15099" w:rsidP="00CD50B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2013</w:t>
            </w:r>
          </w:p>
          <w:p w:rsidR="00A15099" w:rsidRPr="006F07ED" w:rsidRDefault="00393EEA" w:rsidP="00CD50B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r w:rsidR="00A15099"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од</w:t>
            </w:r>
          </w:p>
          <w:p w:rsidR="000255D7" w:rsidRPr="006F07ED" w:rsidRDefault="000255D7" w:rsidP="00CD50B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A15099" w:rsidRPr="006F07ED" w:rsidRDefault="00A15099" w:rsidP="00CD50B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2014</w:t>
            </w:r>
          </w:p>
          <w:p w:rsidR="00A15099" w:rsidRPr="006F07ED" w:rsidRDefault="00A15099" w:rsidP="00CD50B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418" w:type="dxa"/>
          </w:tcPr>
          <w:p w:rsidR="008A0057" w:rsidRPr="006F07ED" w:rsidRDefault="00A15099" w:rsidP="00CD50B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2015</w:t>
            </w:r>
          </w:p>
          <w:p w:rsidR="00A15099" w:rsidRPr="006F07ED" w:rsidRDefault="00A15099" w:rsidP="00CD50B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A15099" w:rsidRPr="006F07ED" w:rsidRDefault="00A15099" w:rsidP="00CD50B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</w:t>
            </w:r>
            <w:r w:rsidR="008A0057"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  <w:p w:rsidR="00A15099" w:rsidRPr="006F07ED" w:rsidRDefault="00A15099" w:rsidP="00CD50B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год</w:t>
            </w:r>
          </w:p>
        </w:tc>
      </w:tr>
      <w:tr w:rsidR="006F07ED" w:rsidRPr="006F07ED" w:rsidTr="008A0057">
        <w:tc>
          <w:tcPr>
            <w:tcW w:w="3369" w:type="dxa"/>
            <w:shd w:val="clear" w:color="auto" w:fill="auto"/>
          </w:tcPr>
          <w:p w:rsidR="00A15099" w:rsidRPr="006F07ED" w:rsidRDefault="00A15099" w:rsidP="00CD50B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Число родившихся, человек</w:t>
            </w:r>
          </w:p>
        </w:tc>
        <w:tc>
          <w:tcPr>
            <w:tcW w:w="1559" w:type="dxa"/>
            <w:shd w:val="clear" w:color="auto" w:fill="auto"/>
          </w:tcPr>
          <w:p w:rsidR="00A15099" w:rsidRPr="006F07ED" w:rsidRDefault="00A15099" w:rsidP="00CD50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1580</w:t>
            </w:r>
          </w:p>
        </w:tc>
        <w:tc>
          <w:tcPr>
            <w:tcW w:w="1417" w:type="dxa"/>
            <w:shd w:val="clear" w:color="auto" w:fill="auto"/>
          </w:tcPr>
          <w:p w:rsidR="00A15099" w:rsidRPr="006F07ED" w:rsidRDefault="00A15099" w:rsidP="00CD50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1773</w:t>
            </w:r>
          </w:p>
        </w:tc>
        <w:tc>
          <w:tcPr>
            <w:tcW w:w="1418" w:type="dxa"/>
          </w:tcPr>
          <w:p w:rsidR="00A15099" w:rsidRPr="006F07ED" w:rsidRDefault="00A15099" w:rsidP="00CD50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1699</w:t>
            </w:r>
          </w:p>
        </w:tc>
        <w:tc>
          <w:tcPr>
            <w:tcW w:w="1559" w:type="dxa"/>
            <w:shd w:val="clear" w:color="auto" w:fill="auto"/>
          </w:tcPr>
          <w:p w:rsidR="00A15099" w:rsidRPr="006F07ED" w:rsidRDefault="00A15099" w:rsidP="00CD50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1591</w:t>
            </w:r>
          </w:p>
        </w:tc>
      </w:tr>
      <w:tr w:rsidR="006F07ED" w:rsidRPr="006F07ED" w:rsidTr="008A0057">
        <w:tc>
          <w:tcPr>
            <w:tcW w:w="3369" w:type="dxa"/>
            <w:shd w:val="clear" w:color="auto" w:fill="auto"/>
          </w:tcPr>
          <w:p w:rsidR="00A15099" w:rsidRPr="006F07ED" w:rsidRDefault="00A15099" w:rsidP="00CD50B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Число умерших, человек</w:t>
            </w:r>
          </w:p>
        </w:tc>
        <w:tc>
          <w:tcPr>
            <w:tcW w:w="1559" w:type="dxa"/>
            <w:shd w:val="clear" w:color="auto" w:fill="auto"/>
          </w:tcPr>
          <w:p w:rsidR="00A15099" w:rsidRPr="006F07ED" w:rsidRDefault="00A15099" w:rsidP="00CD50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1385</w:t>
            </w:r>
          </w:p>
        </w:tc>
        <w:tc>
          <w:tcPr>
            <w:tcW w:w="1417" w:type="dxa"/>
            <w:shd w:val="clear" w:color="auto" w:fill="auto"/>
          </w:tcPr>
          <w:p w:rsidR="00A15099" w:rsidRPr="006F07ED" w:rsidRDefault="00A15099" w:rsidP="00CD50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1358</w:t>
            </w:r>
          </w:p>
        </w:tc>
        <w:tc>
          <w:tcPr>
            <w:tcW w:w="1418" w:type="dxa"/>
          </w:tcPr>
          <w:p w:rsidR="00A15099" w:rsidRPr="006F07ED" w:rsidRDefault="00A15099" w:rsidP="00CD50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1330</w:t>
            </w:r>
          </w:p>
        </w:tc>
        <w:tc>
          <w:tcPr>
            <w:tcW w:w="1559" w:type="dxa"/>
            <w:shd w:val="clear" w:color="auto" w:fill="auto"/>
          </w:tcPr>
          <w:p w:rsidR="00A15099" w:rsidRPr="006F07ED" w:rsidRDefault="00A15099" w:rsidP="00CD50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1246</w:t>
            </w:r>
          </w:p>
        </w:tc>
      </w:tr>
      <w:tr w:rsidR="006F07ED" w:rsidRPr="006F07ED" w:rsidTr="008A0057">
        <w:tc>
          <w:tcPr>
            <w:tcW w:w="3369" w:type="dxa"/>
            <w:shd w:val="clear" w:color="auto" w:fill="auto"/>
          </w:tcPr>
          <w:p w:rsidR="00A15099" w:rsidRPr="006F07ED" w:rsidRDefault="00A15099" w:rsidP="00CD50B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Естественный прирост, человек</w:t>
            </w:r>
          </w:p>
        </w:tc>
        <w:tc>
          <w:tcPr>
            <w:tcW w:w="1559" w:type="dxa"/>
            <w:shd w:val="clear" w:color="auto" w:fill="auto"/>
          </w:tcPr>
          <w:p w:rsidR="00A15099" w:rsidRPr="006F07ED" w:rsidRDefault="00A15099" w:rsidP="00CD50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+195</w:t>
            </w:r>
          </w:p>
        </w:tc>
        <w:tc>
          <w:tcPr>
            <w:tcW w:w="1417" w:type="dxa"/>
            <w:shd w:val="clear" w:color="auto" w:fill="auto"/>
          </w:tcPr>
          <w:p w:rsidR="00A15099" w:rsidRPr="006F07ED" w:rsidRDefault="00A15099" w:rsidP="00CD50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+415</w:t>
            </w:r>
          </w:p>
        </w:tc>
        <w:tc>
          <w:tcPr>
            <w:tcW w:w="1418" w:type="dxa"/>
          </w:tcPr>
          <w:p w:rsidR="00A15099" w:rsidRPr="006F07ED" w:rsidRDefault="00A15099" w:rsidP="00CD50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+369</w:t>
            </w:r>
          </w:p>
        </w:tc>
        <w:tc>
          <w:tcPr>
            <w:tcW w:w="1559" w:type="dxa"/>
            <w:shd w:val="clear" w:color="auto" w:fill="auto"/>
          </w:tcPr>
          <w:p w:rsidR="00A15099" w:rsidRPr="006F07ED" w:rsidRDefault="00A15099" w:rsidP="00CD50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+345</w:t>
            </w:r>
          </w:p>
        </w:tc>
      </w:tr>
      <w:tr w:rsidR="006F07ED" w:rsidRPr="006F07ED" w:rsidTr="008A0057">
        <w:tc>
          <w:tcPr>
            <w:tcW w:w="3369" w:type="dxa"/>
            <w:shd w:val="clear" w:color="auto" w:fill="auto"/>
          </w:tcPr>
          <w:p w:rsidR="00A15099" w:rsidRPr="006F07ED" w:rsidRDefault="00A15099" w:rsidP="00CD50B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Число прибывших, человек</w:t>
            </w:r>
          </w:p>
        </w:tc>
        <w:tc>
          <w:tcPr>
            <w:tcW w:w="1559" w:type="dxa"/>
            <w:shd w:val="clear" w:color="auto" w:fill="auto"/>
          </w:tcPr>
          <w:p w:rsidR="00A15099" w:rsidRPr="006F07ED" w:rsidRDefault="00A15099" w:rsidP="00CD50B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3848</w:t>
            </w:r>
          </w:p>
        </w:tc>
        <w:tc>
          <w:tcPr>
            <w:tcW w:w="1417" w:type="dxa"/>
            <w:shd w:val="clear" w:color="auto" w:fill="auto"/>
          </w:tcPr>
          <w:p w:rsidR="00A15099" w:rsidRPr="006F07ED" w:rsidRDefault="00A15099" w:rsidP="00CD50B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3442</w:t>
            </w:r>
          </w:p>
        </w:tc>
        <w:tc>
          <w:tcPr>
            <w:tcW w:w="1418" w:type="dxa"/>
          </w:tcPr>
          <w:p w:rsidR="00A15099" w:rsidRPr="006F07ED" w:rsidRDefault="00A15099" w:rsidP="00CD50B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4047</w:t>
            </w:r>
          </w:p>
        </w:tc>
        <w:tc>
          <w:tcPr>
            <w:tcW w:w="1559" w:type="dxa"/>
            <w:shd w:val="clear" w:color="auto" w:fill="auto"/>
          </w:tcPr>
          <w:p w:rsidR="00A15099" w:rsidRPr="006F07ED" w:rsidRDefault="00A15099" w:rsidP="00CD50B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3632</w:t>
            </w:r>
          </w:p>
        </w:tc>
      </w:tr>
      <w:tr w:rsidR="006F07ED" w:rsidRPr="006F07ED" w:rsidTr="008A0057">
        <w:tc>
          <w:tcPr>
            <w:tcW w:w="3369" w:type="dxa"/>
            <w:shd w:val="clear" w:color="auto" w:fill="auto"/>
          </w:tcPr>
          <w:p w:rsidR="00A15099" w:rsidRPr="006F07ED" w:rsidRDefault="00A15099" w:rsidP="00CD50B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Число выбывших, человек</w:t>
            </w:r>
          </w:p>
        </w:tc>
        <w:tc>
          <w:tcPr>
            <w:tcW w:w="1559" w:type="dxa"/>
            <w:shd w:val="clear" w:color="auto" w:fill="auto"/>
          </w:tcPr>
          <w:p w:rsidR="00A15099" w:rsidRPr="006F07ED" w:rsidRDefault="00A15099" w:rsidP="00CD50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3345</w:t>
            </w:r>
          </w:p>
        </w:tc>
        <w:tc>
          <w:tcPr>
            <w:tcW w:w="1417" w:type="dxa"/>
            <w:shd w:val="clear" w:color="auto" w:fill="auto"/>
          </w:tcPr>
          <w:p w:rsidR="00A15099" w:rsidRPr="006F07ED" w:rsidRDefault="00A15099" w:rsidP="00CD50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3628</w:t>
            </w:r>
          </w:p>
        </w:tc>
        <w:tc>
          <w:tcPr>
            <w:tcW w:w="1418" w:type="dxa"/>
          </w:tcPr>
          <w:p w:rsidR="00A15099" w:rsidRPr="006F07ED" w:rsidRDefault="00A15099" w:rsidP="00CD50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3268</w:t>
            </w:r>
          </w:p>
        </w:tc>
        <w:tc>
          <w:tcPr>
            <w:tcW w:w="1559" w:type="dxa"/>
            <w:shd w:val="clear" w:color="auto" w:fill="auto"/>
          </w:tcPr>
          <w:p w:rsidR="00A15099" w:rsidRPr="006F07ED" w:rsidRDefault="00A15099" w:rsidP="00CD50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3670</w:t>
            </w:r>
          </w:p>
        </w:tc>
      </w:tr>
      <w:tr w:rsidR="00A15099" w:rsidRPr="006F07ED" w:rsidTr="008A0057">
        <w:tc>
          <w:tcPr>
            <w:tcW w:w="3369" w:type="dxa"/>
            <w:shd w:val="clear" w:color="auto" w:fill="auto"/>
          </w:tcPr>
          <w:p w:rsidR="00A15099" w:rsidRPr="006F07ED" w:rsidRDefault="00A15099" w:rsidP="00CD50B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Миграционный прирост (+), снижение (-), человек</w:t>
            </w:r>
          </w:p>
        </w:tc>
        <w:tc>
          <w:tcPr>
            <w:tcW w:w="1559" w:type="dxa"/>
            <w:shd w:val="clear" w:color="auto" w:fill="auto"/>
          </w:tcPr>
          <w:p w:rsidR="00A15099" w:rsidRPr="006F07ED" w:rsidRDefault="00A15099" w:rsidP="00CD50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+503</w:t>
            </w:r>
          </w:p>
        </w:tc>
        <w:tc>
          <w:tcPr>
            <w:tcW w:w="1417" w:type="dxa"/>
            <w:shd w:val="clear" w:color="auto" w:fill="auto"/>
          </w:tcPr>
          <w:p w:rsidR="00A15099" w:rsidRPr="006F07ED" w:rsidRDefault="00A15099" w:rsidP="00CD50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-186</w:t>
            </w:r>
          </w:p>
        </w:tc>
        <w:tc>
          <w:tcPr>
            <w:tcW w:w="1418" w:type="dxa"/>
          </w:tcPr>
          <w:p w:rsidR="00A15099" w:rsidRPr="006F07ED" w:rsidRDefault="00A15099" w:rsidP="00CD50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+779</w:t>
            </w:r>
          </w:p>
        </w:tc>
        <w:tc>
          <w:tcPr>
            <w:tcW w:w="1559" w:type="dxa"/>
            <w:shd w:val="clear" w:color="auto" w:fill="auto"/>
          </w:tcPr>
          <w:p w:rsidR="00A15099" w:rsidRPr="006F07ED" w:rsidRDefault="00A15099" w:rsidP="00CD50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-38</w:t>
            </w:r>
          </w:p>
        </w:tc>
      </w:tr>
    </w:tbl>
    <w:p w:rsidR="00A15099" w:rsidRPr="006F07ED" w:rsidRDefault="00A15099" w:rsidP="00A15099">
      <w:pPr>
        <w:suppressAutoHyphens/>
        <w:spacing w:after="0" w:line="360" w:lineRule="auto"/>
        <w:ind w:left="-36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2901" w:rsidRPr="006F07ED" w:rsidRDefault="00282901" w:rsidP="00282901">
      <w:pPr>
        <w:spacing w:after="0" w:line="360" w:lineRule="auto"/>
        <w:ind w:left="-36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Сократилось число </w:t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>зарегистрированных браков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, в январе-ноябре 2016 года их число </w:t>
      </w:r>
      <w:proofErr w:type="gramStart"/>
      <w:r w:rsidRPr="006F07ED">
        <w:rPr>
          <w:rFonts w:ascii="Times New Roman" w:hAnsi="Times New Roman"/>
          <w:color w:val="000000" w:themeColor="text1"/>
          <w:sz w:val="28"/>
          <w:szCs w:val="28"/>
        </w:rPr>
        <w:t>составило  733</w:t>
      </w:r>
      <w:proofErr w:type="gramEnd"/>
      <w:r w:rsidRPr="006F07ED">
        <w:rPr>
          <w:rFonts w:ascii="Times New Roman" w:hAnsi="Times New Roman"/>
          <w:color w:val="000000" w:themeColor="text1"/>
          <w:sz w:val="28"/>
          <w:szCs w:val="28"/>
        </w:rPr>
        <w:t>, против  874 в январе - ноябре 2015 года. Снижение числа зарегистрированных браков составило16,1 %. Число разводов за рассматриваемый период увеличилось по сравнению с аналогичным периодом прошлого года  на 8 единиц или  2 % и составило 409 случаев.</w:t>
      </w:r>
    </w:p>
    <w:p w:rsidR="007B13CC" w:rsidRPr="006F07ED" w:rsidRDefault="007B13CC" w:rsidP="00282901">
      <w:pPr>
        <w:spacing w:after="0" w:line="360" w:lineRule="auto"/>
        <w:ind w:left="-36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2901" w:rsidRPr="006F07ED" w:rsidRDefault="00DD3386" w:rsidP="000F5962">
      <w:pPr>
        <w:shd w:val="clear" w:color="auto" w:fill="FFFFFF"/>
        <w:suppressAutoHyphens/>
        <w:spacing w:after="0"/>
        <w:ind w:left="-3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жизни населения</w:t>
      </w:r>
    </w:p>
    <w:p w:rsidR="00DD3386" w:rsidRPr="006F07ED" w:rsidRDefault="00DD3386" w:rsidP="00DD3386">
      <w:pPr>
        <w:spacing w:after="0" w:line="360" w:lineRule="auto"/>
        <w:ind w:left="-363" w:firstLine="709"/>
        <w:jc w:val="both"/>
        <w:rPr>
          <w:rStyle w:val="news"/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Style w:val="news"/>
          <w:rFonts w:ascii="Times New Roman" w:hAnsi="Times New Roman"/>
          <w:color w:val="000000" w:themeColor="text1"/>
          <w:sz w:val="28"/>
          <w:szCs w:val="28"/>
        </w:rPr>
        <w:t>Экономическое и социальное развитие городского округа во многом определяется достигнутым качеством жизни, составляющими которого являются, в том числе, величины заработной платы работающих и среднедушевых доходов населения.</w:t>
      </w:r>
    </w:p>
    <w:p w:rsidR="00DD3386" w:rsidRPr="006F07ED" w:rsidRDefault="00DD3386" w:rsidP="00DD3386">
      <w:pPr>
        <w:suppressAutoHyphens/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денежных доходов населения доля оплаты труда остается значительной величиной. Среднемесячная заработная плата, начисленная работникам предприятий, организаций, учреждений, расположенных на территории городского округа, за январь-ноябрь 2016 года, сложилась в размере 30286,9 рублей. </w:t>
      </w:r>
    </w:p>
    <w:p w:rsidR="0072735A" w:rsidRPr="006F07ED" w:rsidRDefault="0072735A" w:rsidP="00DD3386">
      <w:pPr>
        <w:suppressAutoHyphens/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0F7" w:rsidRPr="006F07ED" w:rsidRDefault="009030F7" w:rsidP="0072735A">
      <w:pPr>
        <w:spacing w:after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 xml:space="preserve">Среднемесячная заработная плата </w:t>
      </w:r>
    </w:p>
    <w:p w:rsidR="009030F7" w:rsidRPr="006F07ED" w:rsidRDefault="009030F7" w:rsidP="0072735A">
      <w:pPr>
        <w:spacing w:after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F63545" w:rsidRPr="006F07ED">
        <w:rPr>
          <w:rFonts w:ascii="Times New Roman" w:hAnsi="Times New Roman"/>
          <w:b/>
          <w:color w:val="000000" w:themeColor="text1"/>
          <w:sz w:val="27"/>
          <w:szCs w:val="27"/>
        </w:rPr>
        <w:t>р</w:t>
      </w: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>аботник</w:t>
      </w:r>
      <w:r w:rsidR="00F63545" w:rsidRPr="006F07ED">
        <w:rPr>
          <w:rFonts w:ascii="Times New Roman" w:hAnsi="Times New Roman"/>
          <w:b/>
          <w:color w:val="000000" w:themeColor="text1"/>
          <w:sz w:val="27"/>
          <w:szCs w:val="27"/>
        </w:rPr>
        <w:t>ов крупных и средних предприятий</w:t>
      </w:r>
    </w:p>
    <w:p w:rsidR="009030F7" w:rsidRPr="006F07ED" w:rsidRDefault="009030F7" w:rsidP="0072735A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color w:val="000000" w:themeColor="text1"/>
          <w:sz w:val="26"/>
          <w:szCs w:val="26"/>
        </w:rPr>
        <w:t>(рублей)</w:t>
      </w:r>
    </w:p>
    <w:p w:rsidR="009030F7" w:rsidRPr="006F07ED" w:rsidRDefault="009030F7" w:rsidP="009030F7">
      <w:pPr>
        <w:spacing w:after="0" w:line="360" w:lineRule="auto"/>
        <w:jc w:val="center"/>
        <w:rPr>
          <w:b/>
          <w:color w:val="000000" w:themeColor="text1"/>
          <w:sz w:val="34"/>
        </w:rPr>
      </w:pPr>
      <w:r w:rsidRPr="006F07ED">
        <w:rPr>
          <w:b/>
          <w:noProof/>
          <w:color w:val="000000" w:themeColor="text1"/>
          <w:sz w:val="34"/>
          <w:lang w:eastAsia="ru-RU"/>
        </w:rPr>
        <w:drawing>
          <wp:inline distT="0" distB="0" distL="0" distR="0">
            <wp:extent cx="5138420" cy="3019425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66B6E" w:rsidRPr="006F07ED" w:rsidRDefault="0072735A" w:rsidP="0072735A">
      <w:pPr>
        <w:suppressAutoHyphens/>
        <w:spacing w:after="0" w:line="360" w:lineRule="auto"/>
        <w:ind w:left="-34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166B6E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Рост среднемесячной оплаты труда в номинальном исчислении составил 107,1%. Размер реальной начисленной средней заработной платы, рассчитанный с учетом индекса потребительских цен, по сравнению с январем - ноябрем 2015 года, увеличился на 1,0 %.</w:t>
      </w:r>
    </w:p>
    <w:p w:rsidR="00DD3386" w:rsidRPr="006F07ED" w:rsidRDefault="00DD3386" w:rsidP="00DD3386">
      <w:pPr>
        <w:suppressAutoHyphens/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января - ноября 2016 года среднесписочная численность работающих на крупных и средних предприятиях городского округа по сравнению с аналогичными показателями прошлого года увеличилась на 1,5% и составила 27090 человек.</w:t>
      </w:r>
    </w:p>
    <w:p w:rsidR="00F63545" w:rsidRPr="006F07ED" w:rsidRDefault="00F63545" w:rsidP="0072735A">
      <w:pPr>
        <w:suppressAutoHyphens/>
        <w:spacing w:after="0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545" w:rsidRPr="006F07ED" w:rsidRDefault="00F63545" w:rsidP="0072735A">
      <w:pPr>
        <w:spacing w:after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>Численность работников крупных и средних предприятий</w:t>
      </w:r>
    </w:p>
    <w:p w:rsidR="00F63545" w:rsidRPr="006F07ED" w:rsidRDefault="00F63545" w:rsidP="0072735A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color w:val="000000" w:themeColor="text1"/>
          <w:sz w:val="26"/>
          <w:szCs w:val="26"/>
        </w:rPr>
        <w:t>(человек)</w:t>
      </w:r>
    </w:p>
    <w:p w:rsidR="00F63545" w:rsidRPr="006F07ED" w:rsidRDefault="00F63545" w:rsidP="00F63545">
      <w:pPr>
        <w:rPr>
          <w:color w:val="000000" w:themeColor="text1"/>
        </w:rPr>
      </w:pPr>
      <w:r w:rsidRPr="006F07ED">
        <w:rPr>
          <w:b/>
          <w:noProof/>
          <w:color w:val="000000" w:themeColor="text1"/>
          <w:sz w:val="34"/>
          <w:lang w:eastAsia="ru-RU"/>
        </w:rPr>
        <w:drawing>
          <wp:inline distT="0" distB="0" distL="0" distR="0" wp14:anchorId="48C1FDE8" wp14:editId="55368B04">
            <wp:extent cx="5714413" cy="2867025"/>
            <wp:effectExtent l="0" t="0" r="0" b="0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030F7" w:rsidRPr="006F07ED" w:rsidRDefault="009030F7" w:rsidP="009030F7">
      <w:pPr>
        <w:spacing w:after="0" w:line="360" w:lineRule="auto"/>
        <w:ind w:left="-340"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Значительная часть работников занята в сферах обрабатывающих производств 8013 </w:t>
      </w:r>
      <w:proofErr w:type="gramStart"/>
      <w:r w:rsidRPr="006F07ED">
        <w:rPr>
          <w:rFonts w:ascii="Times New Roman" w:hAnsi="Times New Roman"/>
          <w:color w:val="000000" w:themeColor="text1"/>
          <w:sz w:val="28"/>
          <w:szCs w:val="28"/>
        </w:rPr>
        <w:t>человек  (</w:t>
      </w:r>
      <w:proofErr w:type="gramEnd"/>
      <w:r w:rsidRPr="006F07ED">
        <w:rPr>
          <w:rFonts w:ascii="Times New Roman" w:hAnsi="Times New Roman"/>
          <w:color w:val="000000" w:themeColor="text1"/>
          <w:sz w:val="28"/>
          <w:szCs w:val="28"/>
        </w:rPr>
        <w:t>29,6% от общей  численности работающих на крупных и средних предприятиях), добыче полезных ископаемых- 3702 человека   (13,7%), производства и распределения электроэнергии, газа и воды- 2057 человек   (7,6%), строительства - 902 человека   (3,3%), транспорта и связи – 1454  человека (5,4%), образования – 3562 человека (13,1%), здравоохранения – 2484 человека  (9,2%).</w:t>
      </w:r>
    </w:p>
    <w:p w:rsidR="00F63545" w:rsidRPr="006F07ED" w:rsidRDefault="00F63545" w:rsidP="009030F7">
      <w:pPr>
        <w:spacing w:after="0" w:line="360" w:lineRule="auto"/>
        <w:ind w:left="-340"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3545" w:rsidRPr="006F07ED" w:rsidRDefault="00F63545" w:rsidP="009030F7">
      <w:pPr>
        <w:spacing w:after="0" w:line="360" w:lineRule="auto"/>
        <w:ind w:left="-340"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3545" w:rsidRPr="006F07ED" w:rsidRDefault="00F63545" w:rsidP="009030F7">
      <w:pPr>
        <w:spacing w:after="0" w:line="360" w:lineRule="auto"/>
        <w:ind w:left="-340"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3386" w:rsidRPr="006F07ED" w:rsidRDefault="00DD3386" w:rsidP="00DD3386">
      <w:pPr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Распределение занятых на крупных и средних предприятиях городского округа по видам экономической деятельности</w:t>
      </w:r>
    </w:p>
    <w:p w:rsidR="00DD3386" w:rsidRPr="006F07ED" w:rsidRDefault="00DD3386" w:rsidP="00DD3386">
      <w:pPr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092"/>
      </w:tblGrid>
      <w:tr w:rsidR="006F07ED" w:rsidRPr="006F07ED" w:rsidTr="00F06E55">
        <w:tc>
          <w:tcPr>
            <w:tcW w:w="4928" w:type="dxa"/>
          </w:tcPr>
          <w:p w:rsidR="00DD3386" w:rsidRPr="006F07ED" w:rsidRDefault="00DD3386" w:rsidP="00F06E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D3386" w:rsidRPr="006F07ED" w:rsidRDefault="00DD3386" w:rsidP="00F06E5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F07ED">
              <w:rPr>
                <w:rFonts w:ascii="Times New Roman" w:hAnsi="Times New Roman" w:cs="Times New Roman"/>
                <w:b w:val="0"/>
                <w:color w:val="000000" w:themeColor="text1"/>
              </w:rPr>
              <w:t>Показатель</w:t>
            </w:r>
          </w:p>
        </w:tc>
        <w:tc>
          <w:tcPr>
            <w:tcW w:w="2551" w:type="dxa"/>
          </w:tcPr>
          <w:p w:rsidR="00DD3386" w:rsidRPr="006F07ED" w:rsidRDefault="00DD3386" w:rsidP="00F06E5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Абсолютный показатель за я</w:t>
            </w:r>
            <w:r w:rsidR="0072735A"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нварь-ноябрь 2016 года, человек</w:t>
            </w:r>
          </w:p>
        </w:tc>
        <w:tc>
          <w:tcPr>
            <w:tcW w:w="2092" w:type="dxa"/>
          </w:tcPr>
          <w:p w:rsidR="00DD3386" w:rsidRPr="006F07ED" w:rsidRDefault="00DD3386" w:rsidP="00F06E5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январь-ноябрь 2016г. в % к январю-ноябрю 2015г.</w:t>
            </w:r>
          </w:p>
        </w:tc>
      </w:tr>
      <w:tr w:rsidR="006F07ED" w:rsidRPr="006F07ED" w:rsidTr="00F06E55">
        <w:tc>
          <w:tcPr>
            <w:tcW w:w="4928" w:type="dxa"/>
          </w:tcPr>
          <w:p w:rsidR="00DD3386" w:rsidRPr="006F07ED" w:rsidRDefault="00DD3386" w:rsidP="00F06E5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занятых на крупных и средних предприятиях по видам экономической деятельности, в том числе:</w:t>
            </w:r>
          </w:p>
        </w:tc>
        <w:tc>
          <w:tcPr>
            <w:tcW w:w="2551" w:type="dxa"/>
          </w:tcPr>
          <w:p w:rsidR="00DD3386" w:rsidRPr="006F07ED" w:rsidRDefault="00DD3386" w:rsidP="00F06E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27090</w:t>
            </w:r>
          </w:p>
        </w:tc>
        <w:tc>
          <w:tcPr>
            <w:tcW w:w="2092" w:type="dxa"/>
          </w:tcPr>
          <w:p w:rsidR="00DD3386" w:rsidRPr="006F07ED" w:rsidRDefault="00DD3386" w:rsidP="00F06E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101,5</w:t>
            </w:r>
          </w:p>
        </w:tc>
      </w:tr>
      <w:tr w:rsidR="006F07ED" w:rsidRPr="006F07ED" w:rsidTr="00F06E55">
        <w:tc>
          <w:tcPr>
            <w:tcW w:w="4928" w:type="dxa"/>
          </w:tcPr>
          <w:p w:rsidR="00DD3386" w:rsidRPr="006F07ED" w:rsidRDefault="00DD3386" w:rsidP="00F06E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2551" w:type="dxa"/>
          </w:tcPr>
          <w:p w:rsidR="00DD3386" w:rsidRPr="006F07ED" w:rsidRDefault="00DD3386" w:rsidP="00F06E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3702</w:t>
            </w:r>
          </w:p>
        </w:tc>
        <w:tc>
          <w:tcPr>
            <w:tcW w:w="2092" w:type="dxa"/>
          </w:tcPr>
          <w:p w:rsidR="00DD3386" w:rsidRPr="006F07ED" w:rsidRDefault="00DD3386" w:rsidP="00F06E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110,4</w:t>
            </w:r>
          </w:p>
        </w:tc>
      </w:tr>
      <w:tr w:rsidR="006F07ED" w:rsidRPr="006F07ED" w:rsidTr="00F06E55">
        <w:tc>
          <w:tcPr>
            <w:tcW w:w="4928" w:type="dxa"/>
          </w:tcPr>
          <w:p w:rsidR="00DD3386" w:rsidRPr="006F07ED" w:rsidRDefault="00DD3386" w:rsidP="00F06E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2551" w:type="dxa"/>
          </w:tcPr>
          <w:p w:rsidR="00DD3386" w:rsidRPr="006F07ED" w:rsidRDefault="00DD3386" w:rsidP="00F06E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8013</w:t>
            </w:r>
          </w:p>
        </w:tc>
        <w:tc>
          <w:tcPr>
            <w:tcW w:w="2092" w:type="dxa"/>
          </w:tcPr>
          <w:p w:rsidR="00DD3386" w:rsidRPr="006F07ED" w:rsidRDefault="00DD3386" w:rsidP="00F06E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102,3</w:t>
            </w:r>
          </w:p>
        </w:tc>
      </w:tr>
      <w:tr w:rsidR="006F07ED" w:rsidRPr="006F07ED" w:rsidTr="00F06E55">
        <w:tc>
          <w:tcPr>
            <w:tcW w:w="4928" w:type="dxa"/>
          </w:tcPr>
          <w:p w:rsidR="00DD3386" w:rsidRPr="006F07ED" w:rsidRDefault="00DD3386" w:rsidP="00F06E5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 и распределение электроэнергии, газа и воды</w:t>
            </w:r>
          </w:p>
        </w:tc>
        <w:tc>
          <w:tcPr>
            <w:tcW w:w="2551" w:type="dxa"/>
          </w:tcPr>
          <w:p w:rsidR="00DD3386" w:rsidRPr="006F07ED" w:rsidRDefault="00DD3386" w:rsidP="00F06E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2057</w:t>
            </w:r>
          </w:p>
        </w:tc>
        <w:tc>
          <w:tcPr>
            <w:tcW w:w="2092" w:type="dxa"/>
          </w:tcPr>
          <w:p w:rsidR="00DD3386" w:rsidRPr="006F07ED" w:rsidRDefault="00DD3386" w:rsidP="00F06E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95,6</w:t>
            </w:r>
          </w:p>
        </w:tc>
      </w:tr>
      <w:tr w:rsidR="006F07ED" w:rsidRPr="006F07ED" w:rsidTr="00F06E55">
        <w:tc>
          <w:tcPr>
            <w:tcW w:w="4928" w:type="dxa"/>
          </w:tcPr>
          <w:p w:rsidR="00DD3386" w:rsidRPr="006F07ED" w:rsidRDefault="00DD3386" w:rsidP="00F06E5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Строительство</w:t>
            </w:r>
          </w:p>
        </w:tc>
        <w:tc>
          <w:tcPr>
            <w:tcW w:w="2551" w:type="dxa"/>
          </w:tcPr>
          <w:p w:rsidR="00DD3386" w:rsidRPr="006F07ED" w:rsidRDefault="00DD3386" w:rsidP="00F06E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902</w:t>
            </w:r>
          </w:p>
        </w:tc>
        <w:tc>
          <w:tcPr>
            <w:tcW w:w="2092" w:type="dxa"/>
          </w:tcPr>
          <w:p w:rsidR="00DD3386" w:rsidRPr="006F07ED" w:rsidRDefault="00DD3386" w:rsidP="00F06E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115,6</w:t>
            </w:r>
          </w:p>
        </w:tc>
      </w:tr>
      <w:tr w:rsidR="006F07ED" w:rsidRPr="006F07ED" w:rsidTr="00F06E55">
        <w:tc>
          <w:tcPr>
            <w:tcW w:w="4928" w:type="dxa"/>
          </w:tcPr>
          <w:p w:rsidR="00DD3386" w:rsidRPr="006F07ED" w:rsidRDefault="00DD3386" w:rsidP="00F06E5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Транспорт и связь</w:t>
            </w:r>
          </w:p>
        </w:tc>
        <w:tc>
          <w:tcPr>
            <w:tcW w:w="2551" w:type="dxa"/>
          </w:tcPr>
          <w:p w:rsidR="00DD3386" w:rsidRPr="006F07ED" w:rsidRDefault="00DD3386" w:rsidP="00F06E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1454</w:t>
            </w:r>
          </w:p>
        </w:tc>
        <w:tc>
          <w:tcPr>
            <w:tcW w:w="2092" w:type="dxa"/>
          </w:tcPr>
          <w:p w:rsidR="00DD3386" w:rsidRPr="006F07ED" w:rsidRDefault="00DD3386" w:rsidP="00F06E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91,5</w:t>
            </w:r>
          </w:p>
        </w:tc>
      </w:tr>
      <w:tr w:rsidR="006F07ED" w:rsidRPr="006F07ED" w:rsidTr="00F06E55">
        <w:tc>
          <w:tcPr>
            <w:tcW w:w="4928" w:type="dxa"/>
          </w:tcPr>
          <w:p w:rsidR="00DD3386" w:rsidRPr="006F07ED" w:rsidRDefault="00DD3386" w:rsidP="00F06E5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2551" w:type="dxa"/>
          </w:tcPr>
          <w:p w:rsidR="00DD3386" w:rsidRPr="006F07ED" w:rsidRDefault="00DD3386" w:rsidP="00F06E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3562</w:t>
            </w:r>
          </w:p>
        </w:tc>
        <w:tc>
          <w:tcPr>
            <w:tcW w:w="2092" w:type="dxa"/>
          </w:tcPr>
          <w:p w:rsidR="00DD3386" w:rsidRPr="006F07ED" w:rsidRDefault="00DD3386" w:rsidP="00F06E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102,7</w:t>
            </w:r>
          </w:p>
        </w:tc>
      </w:tr>
      <w:tr w:rsidR="00DD3386" w:rsidRPr="006F07ED" w:rsidTr="00F06E55">
        <w:tc>
          <w:tcPr>
            <w:tcW w:w="4928" w:type="dxa"/>
          </w:tcPr>
          <w:p w:rsidR="00DD3386" w:rsidRPr="006F07ED" w:rsidRDefault="00DD3386" w:rsidP="00F06E5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Здравоохранение и предоставление социальных услуг</w:t>
            </w:r>
          </w:p>
        </w:tc>
        <w:tc>
          <w:tcPr>
            <w:tcW w:w="2551" w:type="dxa"/>
          </w:tcPr>
          <w:p w:rsidR="00DD3386" w:rsidRPr="006F07ED" w:rsidRDefault="00DD3386" w:rsidP="00F06E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2484</w:t>
            </w:r>
          </w:p>
        </w:tc>
        <w:tc>
          <w:tcPr>
            <w:tcW w:w="2092" w:type="dxa"/>
          </w:tcPr>
          <w:p w:rsidR="00DD3386" w:rsidRPr="006F07ED" w:rsidRDefault="00DD3386" w:rsidP="00F06E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97,5</w:t>
            </w:r>
          </w:p>
        </w:tc>
      </w:tr>
    </w:tbl>
    <w:p w:rsidR="00DD3386" w:rsidRPr="006F07ED" w:rsidRDefault="00DD3386" w:rsidP="00DD3386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70A" w:rsidRPr="006F07ED" w:rsidRDefault="0020170A" w:rsidP="0020170A">
      <w:pPr>
        <w:suppressAutoHyphens/>
        <w:spacing w:after="0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отчетного года на крупных и средних предприятиях городского округа создано 434 новых рабочих места.</w:t>
      </w:r>
    </w:p>
    <w:p w:rsidR="009030F7" w:rsidRPr="006F07ED" w:rsidRDefault="009030F7" w:rsidP="0020170A">
      <w:pPr>
        <w:suppressAutoHyphens/>
        <w:spacing w:after="0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908" w:rsidRPr="006F07ED" w:rsidRDefault="009C0908" w:rsidP="009C0908">
      <w:pPr>
        <w:suppressAutoHyphens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труда, занятость населения</w:t>
      </w:r>
    </w:p>
    <w:p w:rsidR="007B13CC" w:rsidRPr="006F07ED" w:rsidRDefault="007B13CC" w:rsidP="009C0908">
      <w:pPr>
        <w:suppressAutoHyphens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0908" w:rsidRPr="006F07ED" w:rsidRDefault="009C0908" w:rsidP="009C0908">
      <w:pPr>
        <w:suppressAutoHyphens/>
        <w:spacing w:after="0" w:line="360" w:lineRule="auto"/>
        <w:ind w:left="-363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Определенным барометром движения рабочей силы, его востребованности является положение на рынке труда.</w:t>
      </w:r>
    </w:p>
    <w:p w:rsidR="009C0908" w:rsidRPr="006F07ED" w:rsidRDefault="009C0908" w:rsidP="009C0908">
      <w:pPr>
        <w:suppressAutoHyphens/>
        <w:spacing w:after="0" w:line="360" w:lineRule="auto"/>
        <w:ind w:left="-36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>Ситуация на рынке труда городского округа, начиная с января 2016 года, характеризуется последовательным ростом  регистрируемой безработицы.</w:t>
      </w:r>
    </w:p>
    <w:p w:rsidR="00AA4F32" w:rsidRPr="006F07ED" w:rsidRDefault="00AA4F32" w:rsidP="00AA4F32">
      <w:pPr>
        <w:spacing w:after="0" w:line="360" w:lineRule="auto"/>
        <w:ind w:left="-36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На 1 января 2017 года в Центре занятости в качестве безработных зарегистрированы 617 человек, что на 28% больше по сравнению с 1 января 2016 года. Уровень  регистрируемой безработицы за  2016 год  составил 1,03%  от экономически активного населения. </w:t>
      </w:r>
    </w:p>
    <w:p w:rsidR="00AA4F32" w:rsidRPr="006F07ED" w:rsidRDefault="00AA4F32" w:rsidP="009C0908">
      <w:pPr>
        <w:suppressAutoHyphens/>
        <w:spacing w:after="0" w:line="360" w:lineRule="auto"/>
        <w:ind w:left="-36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613AE" w:rsidRPr="006F07ED" w:rsidRDefault="000613AE" w:rsidP="009C090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0613AE" w:rsidRPr="006F07ED" w:rsidRDefault="000613AE" w:rsidP="009C090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0613AE" w:rsidRPr="006F07ED" w:rsidRDefault="000613AE" w:rsidP="009C090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9C0908" w:rsidRPr="006F07ED" w:rsidRDefault="00AA4F32" w:rsidP="009C090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color w:val="000000" w:themeColor="text1"/>
          <w:sz w:val="27"/>
          <w:szCs w:val="27"/>
        </w:rPr>
        <w:lastRenderedPageBreak/>
        <w:t>Д</w:t>
      </w:r>
      <w:r w:rsidR="009C0908" w:rsidRPr="006F07ED">
        <w:rPr>
          <w:rFonts w:ascii="Times New Roman" w:hAnsi="Times New Roman"/>
          <w:color w:val="000000" w:themeColor="text1"/>
          <w:sz w:val="27"/>
          <w:szCs w:val="27"/>
        </w:rPr>
        <w:t>инамика уровня безработицы в городского округе город Октябрьский Республики Башкортостан</w:t>
      </w:r>
    </w:p>
    <w:p w:rsidR="009C0908" w:rsidRPr="006F07ED" w:rsidRDefault="009C0908" w:rsidP="009C090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6F07ED" w:rsidRPr="006F07ED" w:rsidTr="00F06E55">
        <w:trPr>
          <w:tblHeader/>
        </w:trPr>
        <w:tc>
          <w:tcPr>
            <w:tcW w:w="3189" w:type="dxa"/>
            <w:vAlign w:val="center"/>
          </w:tcPr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Уровень безработицы,</w:t>
            </w:r>
          </w:p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3191" w:type="dxa"/>
            <w:vAlign w:val="center"/>
          </w:tcPr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Число безработных,</w:t>
            </w:r>
          </w:p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человек</w:t>
            </w:r>
          </w:p>
        </w:tc>
      </w:tr>
      <w:tr w:rsidR="006F07ED" w:rsidRPr="006F07ED" w:rsidTr="00F06E55">
        <w:tc>
          <w:tcPr>
            <w:tcW w:w="3189" w:type="dxa"/>
            <w:vAlign w:val="center"/>
          </w:tcPr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 01.01.2016г.</w:t>
            </w:r>
          </w:p>
        </w:tc>
        <w:tc>
          <w:tcPr>
            <w:tcW w:w="3190" w:type="dxa"/>
            <w:vAlign w:val="center"/>
          </w:tcPr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0,84</w:t>
            </w:r>
          </w:p>
        </w:tc>
        <w:tc>
          <w:tcPr>
            <w:tcW w:w="3191" w:type="dxa"/>
            <w:vAlign w:val="center"/>
          </w:tcPr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482</w:t>
            </w:r>
          </w:p>
        </w:tc>
      </w:tr>
      <w:tr w:rsidR="006F07ED" w:rsidRPr="006F07ED" w:rsidTr="00F06E55">
        <w:tc>
          <w:tcPr>
            <w:tcW w:w="3189" w:type="dxa"/>
            <w:vAlign w:val="center"/>
          </w:tcPr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на 01.03.2016г.</w:t>
            </w:r>
          </w:p>
        </w:tc>
        <w:tc>
          <w:tcPr>
            <w:tcW w:w="3190" w:type="dxa"/>
            <w:vAlign w:val="center"/>
          </w:tcPr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0,88</w:t>
            </w:r>
          </w:p>
        </w:tc>
        <w:tc>
          <w:tcPr>
            <w:tcW w:w="3191" w:type="dxa"/>
            <w:vAlign w:val="center"/>
          </w:tcPr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503</w:t>
            </w:r>
          </w:p>
        </w:tc>
      </w:tr>
      <w:tr w:rsidR="006F07ED" w:rsidRPr="006F07ED" w:rsidTr="00F06E55">
        <w:tc>
          <w:tcPr>
            <w:tcW w:w="3189" w:type="dxa"/>
            <w:vAlign w:val="center"/>
          </w:tcPr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на 01.04.2016г.</w:t>
            </w:r>
          </w:p>
        </w:tc>
        <w:tc>
          <w:tcPr>
            <w:tcW w:w="3190" w:type="dxa"/>
            <w:vAlign w:val="center"/>
          </w:tcPr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0,89</w:t>
            </w:r>
          </w:p>
        </w:tc>
        <w:tc>
          <w:tcPr>
            <w:tcW w:w="3191" w:type="dxa"/>
            <w:vAlign w:val="center"/>
          </w:tcPr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513</w:t>
            </w:r>
          </w:p>
        </w:tc>
      </w:tr>
      <w:tr w:rsidR="006F07ED" w:rsidRPr="006F07ED" w:rsidTr="00F06E55">
        <w:tc>
          <w:tcPr>
            <w:tcW w:w="3189" w:type="dxa"/>
            <w:vAlign w:val="center"/>
          </w:tcPr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на 01.07.2016г.</w:t>
            </w:r>
          </w:p>
        </w:tc>
        <w:tc>
          <w:tcPr>
            <w:tcW w:w="3190" w:type="dxa"/>
            <w:vAlign w:val="center"/>
          </w:tcPr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0,94</w:t>
            </w:r>
          </w:p>
        </w:tc>
        <w:tc>
          <w:tcPr>
            <w:tcW w:w="3191" w:type="dxa"/>
            <w:vAlign w:val="center"/>
          </w:tcPr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564</w:t>
            </w:r>
          </w:p>
        </w:tc>
      </w:tr>
      <w:tr w:rsidR="006F07ED" w:rsidRPr="006F07ED" w:rsidTr="00F06E55">
        <w:tc>
          <w:tcPr>
            <w:tcW w:w="3189" w:type="dxa"/>
            <w:vAlign w:val="center"/>
          </w:tcPr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на 01.12.2016г.</w:t>
            </w:r>
          </w:p>
        </w:tc>
        <w:tc>
          <w:tcPr>
            <w:tcW w:w="3190" w:type="dxa"/>
            <w:vAlign w:val="center"/>
          </w:tcPr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0,96</w:t>
            </w:r>
          </w:p>
        </w:tc>
        <w:tc>
          <w:tcPr>
            <w:tcW w:w="3191" w:type="dxa"/>
            <w:vAlign w:val="center"/>
          </w:tcPr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577</w:t>
            </w:r>
          </w:p>
        </w:tc>
      </w:tr>
      <w:tr w:rsidR="009C0908" w:rsidRPr="006F07ED" w:rsidTr="00F06E55">
        <w:tc>
          <w:tcPr>
            <w:tcW w:w="3189" w:type="dxa"/>
            <w:vAlign w:val="center"/>
          </w:tcPr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на 01.01.2017г.</w:t>
            </w:r>
          </w:p>
        </w:tc>
        <w:tc>
          <w:tcPr>
            <w:tcW w:w="3190" w:type="dxa"/>
            <w:vAlign w:val="center"/>
          </w:tcPr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1,03</w:t>
            </w:r>
          </w:p>
        </w:tc>
        <w:tc>
          <w:tcPr>
            <w:tcW w:w="3191" w:type="dxa"/>
            <w:vAlign w:val="center"/>
          </w:tcPr>
          <w:p w:rsidR="009C0908" w:rsidRPr="006F07ED" w:rsidRDefault="009C0908" w:rsidP="00F06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6F07ED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617</w:t>
            </w:r>
          </w:p>
        </w:tc>
      </w:tr>
    </w:tbl>
    <w:p w:rsidR="00210254" w:rsidRPr="006F07ED" w:rsidRDefault="00210254" w:rsidP="009C0908">
      <w:pPr>
        <w:spacing w:after="0" w:line="360" w:lineRule="auto"/>
        <w:ind w:left="-36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0254" w:rsidRPr="006F07ED" w:rsidRDefault="00210254" w:rsidP="009C0908">
      <w:pPr>
        <w:spacing w:after="0" w:line="360" w:lineRule="auto"/>
        <w:ind w:left="-36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За содействием </w:t>
      </w:r>
      <w:proofErr w:type="gramStart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F046A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>трудоустройстве</w:t>
      </w:r>
      <w:proofErr w:type="gram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 в Центр занятости населения в течение 2016 года обратились  1472 человека, из них 649 человек (44,1%) нашли работу  с помощью службы занятости (в  2015 году, соответственно, 646 человек 52,3%).</w:t>
      </w:r>
    </w:p>
    <w:p w:rsidR="009C0908" w:rsidRPr="006F07ED" w:rsidRDefault="009C0908" w:rsidP="009C0908">
      <w:pPr>
        <w:spacing w:after="0" w:line="360" w:lineRule="auto"/>
        <w:ind w:left="-36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>Увеличилось количество вакантных рабочих мест в базе данных  Центра занятости. На 1 января 2017 года потребность в работниках составила 508 человек, что в 1,67 раза  больше, чем на 1 января 2016 года. Из общего количества вакансий, которыми располагала служба занятости , 71,2% приходится на рабочие профессии.</w:t>
      </w:r>
    </w:p>
    <w:p w:rsidR="009C0908" w:rsidRPr="006F07ED" w:rsidRDefault="009C0908" w:rsidP="009C0908">
      <w:pPr>
        <w:autoSpaceDE w:val="0"/>
        <w:autoSpaceDN w:val="0"/>
        <w:adjustRightInd w:val="0"/>
        <w:spacing w:after="0" w:line="360" w:lineRule="auto"/>
        <w:ind w:left="-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proofErr w:type="gramStart"/>
      <w:r w:rsidRPr="006F07ED">
        <w:rPr>
          <w:rFonts w:ascii="Times New Roman" w:hAnsi="Times New Roman"/>
          <w:color w:val="000000" w:themeColor="text1"/>
          <w:sz w:val="28"/>
          <w:szCs w:val="28"/>
        </w:rPr>
        <w:t>отчетный  год</w:t>
      </w:r>
      <w:proofErr w:type="gram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 снято с учета 1337 человек, направлено на переобучение 95 человек, из которых по окончании учебы трудоустроено 22 человека.       Заключено 22  договора с 6 учебными заведениями  на переобучение безработных, из которых 3 договора на переобучение 11 женщин, находящихся в отпуске по уходу за ребенком до 3-х лет. На переобучение безработных граждан направлено 596,2 тыс. рублей и 141,4 тыс. рублей на выплату стипендий.</w:t>
      </w:r>
    </w:p>
    <w:p w:rsidR="009A7537" w:rsidRPr="006F07ED" w:rsidRDefault="009C0908" w:rsidP="009C0908">
      <w:pPr>
        <w:autoSpaceDE w:val="0"/>
        <w:autoSpaceDN w:val="0"/>
        <w:adjustRightInd w:val="0"/>
        <w:spacing w:after="0" w:line="360" w:lineRule="auto"/>
        <w:ind w:left="-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        Временно трудоустроено  4 безработных гражданина  в возрасте от 18 до 20 лет, из числа выпускников учреждений начального и среднего профессионального образования, впервые ищущих работу. На оказание </w:t>
      </w:r>
      <w:proofErr w:type="gramStart"/>
      <w:r w:rsidRPr="006F07ED">
        <w:rPr>
          <w:rFonts w:ascii="Times New Roman" w:hAnsi="Times New Roman"/>
          <w:color w:val="000000" w:themeColor="text1"/>
          <w:sz w:val="28"/>
          <w:szCs w:val="28"/>
        </w:rPr>
        <w:t>материальной  поддержки</w:t>
      </w:r>
      <w:proofErr w:type="gram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участникам  направлено 13030  рублей.  </w:t>
      </w:r>
    </w:p>
    <w:p w:rsidR="009C0908" w:rsidRPr="006F07ED" w:rsidRDefault="009C0908" w:rsidP="009A7537">
      <w:pPr>
        <w:autoSpaceDE w:val="0"/>
        <w:autoSpaceDN w:val="0"/>
        <w:adjustRightInd w:val="0"/>
        <w:spacing w:after="0" w:line="360" w:lineRule="auto"/>
        <w:ind w:left="-340" w:firstLine="10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программе общественных работ заклю</w:t>
      </w:r>
      <w:r w:rsidR="009A7537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чено 28 </w:t>
      </w:r>
      <w:proofErr w:type="gramStart"/>
      <w:r w:rsidR="009A7537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договоров,  с</w:t>
      </w:r>
      <w:proofErr w:type="gramEnd"/>
      <w:r w:rsidR="009A7537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работо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дателями согласно которым, временно трудоустроены 150 человек. Сумма выплаченной материальной поддержки составила 180,54 тыс. рублей.   </w:t>
      </w:r>
    </w:p>
    <w:p w:rsidR="009C0908" w:rsidRPr="006F07ED" w:rsidRDefault="009C0908" w:rsidP="009C0908">
      <w:pPr>
        <w:autoSpaceDE w:val="0"/>
        <w:autoSpaceDN w:val="0"/>
        <w:adjustRightInd w:val="0"/>
        <w:spacing w:after="0" w:line="360" w:lineRule="auto"/>
        <w:ind w:left="-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 трудоустроены 26 безработных граждан (инвалидов), </w:t>
      </w:r>
      <w:proofErr w:type="gram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испытываю-</w:t>
      </w:r>
      <w:proofErr w:type="spell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щих</w:t>
      </w:r>
      <w:proofErr w:type="spellEnd"/>
      <w:proofErr w:type="gramEnd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трудности в поисках работы. На выплату материальной поддержки </w:t>
      </w:r>
      <w:proofErr w:type="gram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на-</w:t>
      </w:r>
      <w:proofErr w:type="spell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правлено</w:t>
      </w:r>
      <w:proofErr w:type="spellEnd"/>
      <w:proofErr w:type="gramEnd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24,5 тыс. рублей</w:t>
      </w:r>
      <w:r w:rsidR="00CD50BA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0908" w:rsidRPr="006F07ED" w:rsidRDefault="009C0908" w:rsidP="009C0908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>На динамике числа занятых и безработных сказывается активация работы службы занятости с работодателями по предоставлению информации об имеющихся вакансиях, широкое информирование населения по вопросам трудоустройства.</w:t>
      </w:r>
    </w:p>
    <w:p w:rsidR="009C0908" w:rsidRPr="006F07ED" w:rsidRDefault="009C0908" w:rsidP="008C2D5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2016 года 309 работодателями заявлено о </w:t>
      </w:r>
      <w:proofErr w:type="gramStart"/>
      <w:r w:rsidRPr="006F07ED">
        <w:rPr>
          <w:rFonts w:ascii="Times New Roman" w:hAnsi="Times New Roman"/>
          <w:color w:val="000000" w:themeColor="text1"/>
          <w:sz w:val="28"/>
          <w:szCs w:val="28"/>
        </w:rPr>
        <w:t>наличии  5760</w:t>
      </w:r>
      <w:proofErr w:type="gram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вакансий.</w:t>
      </w:r>
    </w:p>
    <w:p w:rsidR="009C0908" w:rsidRPr="006F07ED" w:rsidRDefault="009C0908" w:rsidP="009C0908">
      <w:pPr>
        <w:spacing w:after="0" w:line="360" w:lineRule="auto"/>
        <w:ind w:left="-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>Услуги по профессиональной ориентации получили 589 человек.  Безработным гражданам выплачено пособий по безработице на сумму 25,2 млн. рублей. Средний размер пособия составил 3946 рублей.</w:t>
      </w:r>
    </w:p>
    <w:p w:rsidR="009C0908" w:rsidRPr="006F07ED" w:rsidRDefault="00916115" w:rsidP="00916115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Востребованной и эффективной формой трудоустройства и взаимодействия, как с работодателями, так и с населением являются различные ярмарки вакансий.</w:t>
      </w:r>
      <w:r w:rsidR="009C0908"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городского округа за январь-декабрь текущего года проведено 4 ярмарки вакансий рабочих мест.</w:t>
      </w:r>
    </w:p>
    <w:p w:rsidR="007B13CC" w:rsidRPr="006F07ED" w:rsidRDefault="007B13CC" w:rsidP="00916115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170A" w:rsidRPr="006F07ED" w:rsidRDefault="002B3F32" w:rsidP="00DD3386">
      <w:pPr>
        <w:spacing w:after="0" w:line="360" w:lineRule="auto"/>
        <w:ind w:left="-340" w:firstLine="53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>Социальная защита населения</w:t>
      </w:r>
    </w:p>
    <w:p w:rsidR="002B3F32" w:rsidRPr="006F07ED" w:rsidRDefault="002B3F32" w:rsidP="002B3F32">
      <w:pPr>
        <w:spacing w:after="0" w:line="360" w:lineRule="auto"/>
        <w:ind w:left="-36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В отчетном году </w:t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>социальной службой городского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округа  продолжена работа по предоставлению различных выплат и компенсаций; возмещению расходов поставщикам услуг за предоставленные меры социальной поддержки льготным категориям граждан в соответствии с действующим законодательством; социальному обслуживанию населения.</w:t>
      </w:r>
    </w:p>
    <w:p w:rsidR="002B3F32" w:rsidRPr="006F07ED" w:rsidRDefault="002B3F32" w:rsidP="002B3F32">
      <w:pPr>
        <w:pStyle w:val="a10"/>
        <w:spacing w:before="0" w:beforeAutospacing="0" w:after="0" w:afterAutospacing="0" w:line="360" w:lineRule="auto"/>
        <w:ind w:left="-363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     В   2016 году   общая численность получателей различных мер социальной поддержки в городском округе  составила  23983  человека (362,6 млн. рублей), в том числе: получателей доплат к пенсиям -  330 человек (5,5 млн. рублей), ежемесячных денежных выплат (ЕДВ) ветеранам труда – 12869 человек (39,76 млн. рублей), ежемесячных денежных компенсаций ( ветеранам ВОВ, труда и </w:t>
      </w:r>
      <w:r w:rsidRPr="006F07ED">
        <w:rPr>
          <w:color w:val="000000" w:themeColor="text1"/>
          <w:sz w:val="28"/>
          <w:szCs w:val="28"/>
        </w:rPr>
        <w:lastRenderedPageBreak/>
        <w:t>Вооруженных сил) – 6890 человек (81,2 млн. рублей), ежемесячных денежных компенсаций ( инвалидам) – 6344 человека (77,1 млн. рублей),  жилищных субсидий – 2447 человек ( 51,9 млн. рублей), адресной социальной помощи на основании социального контракта – 7 человек (350 тыс. рублей), ежемесячных пособий на детей – 1468 человек (12,7  млн. рублей), по уходу за ребенком до 1,5 лет – 729 человек (54,9 млн. рублей), ежемесячных денежных компенсаций многодетным семьям –389 человек  (3,8 млн. рублей).</w:t>
      </w:r>
    </w:p>
    <w:p w:rsidR="002B3F32" w:rsidRPr="006F07ED" w:rsidRDefault="002B3F32" w:rsidP="002B3F32">
      <w:pPr>
        <w:pStyle w:val="a10"/>
        <w:spacing w:before="0" w:beforeAutospacing="0" w:after="0" w:afterAutospacing="0" w:line="360" w:lineRule="auto"/>
        <w:ind w:left="-363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    В целях организации летнего отдыха детей из семей, оказавшихся в трудной жизненной ситуации, выделено 155 путевок в летний лагерь. </w:t>
      </w:r>
    </w:p>
    <w:p w:rsidR="0017181B" w:rsidRPr="006F07ED" w:rsidRDefault="0017181B" w:rsidP="0017181B">
      <w:pPr>
        <w:pStyle w:val="a10"/>
        <w:spacing w:before="0" w:beforeAutospacing="0" w:after="0" w:afterAutospacing="0" w:line="360" w:lineRule="auto"/>
        <w:ind w:left="-340" w:firstLine="708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>В соответствии с республиканской программой развития социального туризма 30 человек  пенсионного возраста получил сертификат на компенсацию части стоимости путевки. В рамках реализации программы «Народный университет третьего возраста» 300 человек прошли обучение по 7 дисциплинам.</w:t>
      </w:r>
    </w:p>
    <w:p w:rsidR="002B3F32" w:rsidRPr="006F07ED" w:rsidRDefault="002B3F32" w:rsidP="002B3F32">
      <w:pPr>
        <w:pStyle w:val="3"/>
        <w:spacing w:after="0" w:line="360" w:lineRule="auto"/>
        <w:ind w:left="-340" w:firstLine="709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Развивается сфера социальных услуг, оказываемых пожилым гражданам и инвалидам </w:t>
      </w:r>
      <w:proofErr w:type="gramStart"/>
      <w:r w:rsidRPr="006F07ED">
        <w:rPr>
          <w:color w:val="000000" w:themeColor="text1"/>
          <w:sz w:val="28"/>
          <w:szCs w:val="28"/>
        </w:rPr>
        <w:t>в  учреждениях</w:t>
      </w:r>
      <w:proofErr w:type="gramEnd"/>
      <w:r w:rsidRPr="006F07ED">
        <w:rPr>
          <w:color w:val="000000" w:themeColor="text1"/>
          <w:sz w:val="28"/>
          <w:szCs w:val="28"/>
        </w:rPr>
        <w:t xml:space="preserve"> социального обслуживания. Автономной некоммерческой организацией  центра социального обслуживания населения «Добрые сердца» оказано 92669  социально-бытовых, социально-медицинских, социально-психологических и других видов социальных услуг  455 гражданам.</w:t>
      </w:r>
    </w:p>
    <w:p w:rsidR="002B3F32" w:rsidRPr="006F07ED" w:rsidRDefault="0017181B" w:rsidP="002B3F32">
      <w:pPr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2B3F32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 на муниципальном уровне системы социальной помощи и поддержки малообеспеченных многодетных, неполных семей (в том числе с детьми-инвалидами), инвалидов; пожилых людей в   городком округе   реализуется муниципальная программа «Социальная поддержка граждан в городском округе  город Октябрьский Республики Башкортостан».</w:t>
      </w:r>
    </w:p>
    <w:p w:rsidR="002B3F32" w:rsidRPr="006F07ED" w:rsidRDefault="002B3F32" w:rsidP="002B3F32">
      <w:pPr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Программы в 2016 году:</w:t>
      </w:r>
    </w:p>
    <w:p w:rsidR="002B3F32" w:rsidRPr="006F07ED" w:rsidRDefault="002B3F32" w:rsidP="002B3F32">
      <w:pPr>
        <w:autoSpaceDE w:val="0"/>
        <w:autoSpaceDN w:val="0"/>
        <w:adjustRightInd w:val="0"/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оказана  материальная   помощь  130 гражданам, находящимся в трудной жизненной ситуации,  на сумму 520,3 тыс. рублей  за счет средств бюджета Республики Башкортостан   и 35 гражданам  за счет средств бюджета городского округа на сумму 233,6  тыс. рублей</w:t>
      </w:r>
    </w:p>
    <w:p w:rsidR="002B3F32" w:rsidRPr="006F07ED" w:rsidRDefault="002B3F32" w:rsidP="002B3F32">
      <w:pPr>
        <w:tabs>
          <w:tab w:val="num" w:pos="375"/>
        </w:tabs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- организовано ежедневное горячее питание для 37 малообеспеченных граждан и лиц, оказавшихся в трудной жизненной ситуации. На организацию питания направлено 48,9 млн. рублей;</w:t>
      </w:r>
    </w:p>
    <w:p w:rsidR="002B3F32" w:rsidRPr="006F07ED" w:rsidRDefault="002B3F32" w:rsidP="002B3F32">
      <w:pPr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- оказана помощь 300 гражданам по  обеспечению одеждой, обувью и предметами первой необходимости из созданного «Банка вещей»;</w:t>
      </w:r>
    </w:p>
    <w:p w:rsidR="002B3F32" w:rsidRPr="006F07ED" w:rsidRDefault="002B3F32" w:rsidP="002B3F32">
      <w:pPr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выдано на прокат 135 технических средств реабилитации 119 горожанам. </w:t>
      </w:r>
    </w:p>
    <w:p w:rsidR="0007192F" w:rsidRPr="006F07ED" w:rsidRDefault="0007192F" w:rsidP="0007192F">
      <w:pPr>
        <w:pStyle w:val="21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В области пенсионного обеспечения в 2016 году было продолжено проведение мероприятий, направленных на повышение общего уровня пенсионного обеспечения всех категорий пенсионеров. </w:t>
      </w:r>
    </w:p>
    <w:p w:rsidR="0007192F" w:rsidRPr="006F07ED" w:rsidRDefault="0007192F" w:rsidP="0007192F">
      <w:pPr>
        <w:pStyle w:val="21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>С учетом проведенных мер средний размер трудовой пенсии (среднегодовой) в 2016 году состави</w:t>
      </w:r>
      <w:r w:rsidR="00616D49" w:rsidRPr="006F07ED">
        <w:rPr>
          <w:rFonts w:ascii="Times New Roman" w:hAnsi="Times New Roman"/>
          <w:color w:val="000000" w:themeColor="text1"/>
          <w:sz w:val="28"/>
          <w:szCs w:val="28"/>
        </w:rPr>
        <w:t>л 12692,1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рубля и увеличился по сравнению с 2015 годом на 3,2%.  </w:t>
      </w:r>
    </w:p>
    <w:p w:rsidR="00A25CE4" w:rsidRPr="006F07ED" w:rsidRDefault="00A25CE4" w:rsidP="0072735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>Средний размер назначенной месячной пенсии</w:t>
      </w:r>
    </w:p>
    <w:p w:rsidR="0007192F" w:rsidRPr="006F07ED" w:rsidRDefault="00A25CE4" w:rsidP="0072735A">
      <w:pPr>
        <w:spacing w:after="0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303530</wp:posOffset>
            </wp:positionV>
            <wp:extent cx="5276215" cy="2790190"/>
            <wp:effectExtent l="4445" t="0" r="0" b="1905"/>
            <wp:wrapSquare wrapText="right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color w:val="000000" w:themeColor="text1"/>
          <w:sz w:val="26"/>
          <w:szCs w:val="26"/>
        </w:rPr>
        <w:t>(рублей</w:t>
      </w:r>
      <w:r w:rsidR="007A73D3" w:rsidRPr="006F07ED">
        <w:rPr>
          <w:rFonts w:ascii="Times New Roman" w:hAnsi="Times New Roman"/>
          <w:color w:val="000000" w:themeColor="text1"/>
          <w:sz w:val="26"/>
          <w:szCs w:val="26"/>
        </w:rPr>
        <w:t>)</w:t>
      </w:r>
    </w:p>
    <w:p w:rsidR="007B13CC" w:rsidRPr="006F07ED" w:rsidRDefault="007B13CC" w:rsidP="005E06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F32" w:rsidRPr="006F07ED" w:rsidRDefault="005E06A0" w:rsidP="005E06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</w:p>
    <w:p w:rsidR="005E06A0" w:rsidRPr="006F07ED" w:rsidRDefault="005E06A0" w:rsidP="005E06A0">
      <w:pPr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7"/>
          <w:szCs w:val="27"/>
        </w:rPr>
        <w:t xml:space="preserve">          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ключевых задач муниципальной политики в </w:t>
      </w:r>
      <w:r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сфере образования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обеспечение доступного качественного образования.</w:t>
      </w:r>
    </w:p>
    <w:p w:rsidR="005E06A0" w:rsidRPr="006F07ED" w:rsidRDefault="005E06A0" w:rsidP="005E06A0">
      <w:pPr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A6E8A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истема  образования городского округа представлена разными типами и видами образовательных </w:t>
      </w:r>
      <w:r w:rsidR="00DF5C4F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, учитывающими весь спектр образовательных потребностей детей.</w:t>
      </w:r>
    </w:p>
    <w:p w:rsidR="005E06A0" w:rsidRPr="006F07ED" w:rsidRDefault="005E06A0" w:rsidP="005E06A0">
      <w:pPr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В  системе  образования  функционирует 16  образовательных </w:t>
      </w:r>
      <w:r w:rsidR="00DF5C4F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 гимназии, 10 средних, 1 основная,  1 специальная коррекционная школа VIII вида), реализующих программы начального, основного и среднего общего образования; 27 дошкольных образовательных </w:t>
      </w:r>
      <w:r w:rsidR="00DF5C4F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5 </w:t>
      </w:r>
      <w:r w:rsidR="00DF5C4F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образования.   </w:t>
      </w:r>
    </w:p>
    <w:p w:rsidR="009C1DE4" w:rsidRPr="006F07ED" w:rsidRDefault="005E06A0" w:rsidP="005E06A0">
      <w:pPr>
        <w:pStyle w:val="a7"/>
        <w:spacing w:before="0" w:beforeAutospacing="0" w:after="0" w:afterAutospacing="0" w:line="360" w:lineRule="auto"/>
        <w:ind w:left="-340" w:firstLine="708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В 2016 году в 16 общеобразовательных </w:t>
      </w:r>
      <w:r w:rsidR="00DF5C4F" w:rsidRPr="006F07ED">
        <w:rPr>
          <w:color w:val="000000" w:themeColor="text1"/>
          <w:sz w:val="28"/>
          <w:szCs w:val="28"/>
        </w:rPr>
        <w:t>организациях</w:t>
      </w:r>
      <w:r w:rsidRPr="006F07ED">
        <w:rPr>
          <w:color w:val="000000" w:themeColor="text1"/>
          <w:sz w:val="28"/>
          <w:szCs w:val="28"/>
        </w:rPr>
        <w:t xml:space="preserve"> обучалось 1</w:t>
      </w:r>
      <w:r w:rsidR="0052757C" w:rsidRPr="006F07ED">
        <w:rPr>
          <w:color w:val="000000" w:themeColor="text1"/>
          <w:sz w:val="28"/>
          <w:szCs w:val="28"/>
        </w:rPr>
        <w:t>1362</w:t>
      </w:r>
      <w:r w:rsidRPr="006F07ED">
        <w:rPr>
          <w:color w:val="000000" w:themeColor="text1"/>
          <w:sz w:val="28"/>
          <w:szCs w:val="28"/>
        </w:rPr>
        <w:t xml:space="preserve"> человек</w:t>
      </w:r>
      <w:r w:rsidR="0052757C" w:rsidRPr="006F07ED">
        <w:rPr>
          <w:color w:val="000000" w:themeColor="text1"/>
          <w:sz w:val="28"/>
          <w:szCs w:val="28"/>
        </w:rPr>
        <w:t>а, что на 546 человек</w:t>
      </w:r>
      <w:r w:rsidR="009C1DE4" w:rsidRPr="006F07ED">
        <w:rPr>
          <w:color w:val="000000" w:themeColor="text1"/>
          <w:sz w:val="28"/>
          <w:szCs w:val="28"/>
        </w:rPr>
        <w:t xml:space="preserve"> или 5%</w:t>
      </w:r>
      <w:r w:rsidR="0052757C" w:rsidRPr="006F07ED">
        <w:rPr>
          <w:color w:val="000000" w:themeColor="text1"/>
          <w:sz w:val="28"/>
          <w:szCs w:val="28"/>
        </w:rPr>
        <w:t xml:space="preserve"> больше, чем в 2015 году</w:t>
      </w:r>
      <w:r w:rsidRPr="006F07ED">
        <w:rPr>
          <w:color w:val="000000" w:themeColor="text1"/>
          <w:sz w:val="28"/>
          <w:szCs w:val="28"/>
        </w:rPr>
        <w:t xml:space="preserve">. </w:t>
      </w:r>
      <w:r w:rsidR="009C1DE4" w:rsidRPr="006F07ED">
        <w:rPr>
          <w:color w:val="000000" w:themeColor="text1"/>
          <w:sz w:val="28"/>
          <w:szCs w:val="28"/>
        </w:rPr>
        <w:t>Из общего числа учащихся 84,9% занимаются в первую смену.</w:t>
      </w:r>
    </w:p>
    <w:p w:rsidR="005E06A0" w:rsidRPr="006F07ED" w:rsidRDefault="005E06A0" w:rsidP="00123E64">
      <w:pPr>
        <w:pStyle w:val="a7"/>
        <w:spacing w:before="0" w:beforeAutospacing="0" w:after="0" w:afterAutospacing="0" w:line="360" w:lineRule="auto"/>
        <w:ind w:left="-340" w:firstLine="708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 Средняя наполняемость классов в образовательных </w:t>
      </w:r>
      <w:r w:rsidR="00DF5C4F" w:rsidRPr="006F07ED">
        <w:rPr>
          <w:color w:val="000000" w:themeColor="text1"/>
          <w:sz w:val="28"/>
          <w:szCs w:val="28"/>
        </w:rPr>
        <w:t>организациях</w:t>
      </w:r>
      <w:r w:rsidRPr="006F07ED">
        <w:rPr>
          <w:color w:val="000000" w:themeColor="text1"/>
          <w:sz w:val="28"/>
          <w:szCs w:val="28"/>
        </w:rPr>
        <w:t xml:space="preserve"> составила 26,1 человек</w:t>
      </w:r>
      <w:r w:rsidR="009C1DE4" w:rsidRPr="006F07ED">
        <w:rPr>
          <w:color w:val="000000" w:themeColor="text1"/>
          <w:sz w:val="28"/>
          <w:szCs w:val="28"/>
        </w:rPr>
        <w:t xml:space="preserve"> (справочно: 2015 год -25,6человек)</w:t>
      </w:r>
      <w:r w:rsidRPr="006F07ED">
        <w:rPr>
          <w:color w:val="000000" w:themeColor="text1"/>
          <w:sz w:val="28"/>
          <w:szCs w:val="28"/>
        </w:rPr>
        <w:t xml:space="preserve">. </w:t>
      </w:r>
    </w:p>
    <w:p w:rsidR="00123E64" w:rsidRPr="006F07ED" w:rsidRDefault="00DF5C4F" w:rsidP="00123E64">
      <w:pPr>
        <w:spacing w:after="0" w:line="360" w:lineRule="auto"/>
        <w:ind w:left="-34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415 выпускников </w:t>
      </w:r>
      <w:r w:rsidR="008014FC" w:rsidRPr="006F07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</w:t>
      </w:r>
      <w:r w:rsidR="008014FC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получили аттестаты о среднем общем образовании, </w:t>
      </w:r>
      <w:r w:rsidR="008014FC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из них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 выпускников награждены медалью «За особые успехи в учении». </w:t>
      </w:r>
      <w:r w:rsidR="00D96BBB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Высокую эффективность городской системы общего образования подтверждают результаты сдачи в 2016 году Единого государственного экзамена. Успеваемость по математике</w:t>
      </w:r>
      <w:r w:rsidR="008014FC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составила </w:t>
      </w:r>
      <w:r w:rsidR="00D96BBB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- 99,6%, по русскому языку - 99,5%. </w:t>
      </w:r>
      <w:r w:rsidR="00123E64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как результат – </w:t>
      </w:r>
      <w:r w:rsidR="000459D9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23E64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</w:t>
      </w:r>
      <w:r w:rsidR="00123E64" w:rsidRPr="006F07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выпускников поступивших в высшие учебные заведения увеличилась относительно предыдущего года и составила 81,5%. </w:t>
      </w:r>
      <w:r w:rsidR="001230BF" w:rsidRPr="006F07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Увеличилось на 28 человек количество учащихся получающих стипендию главы администрации городского округа. Общее количество получателей данной стипендии достигло 202 человек. Стипендию </w:t>
      </w:r>
      <w:proofErr w:type="gramStart"/>
      <w:r w:rsidR="001230BF" w:rsidRPr="006F07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Главы  Республики</w:t>
      </w:r>
      <w:proofErr w:type="gramEnd"/>
      <w:r w:rsidR="001230BF" w:rsidRPr="006F07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Башкортостан,</w:t>
      </w:r>
      <w:r w:rsidR="002C4835" w:rsidRPr="006F07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230BF" w:rsidRPr="006F07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и в прошлом году, получают 4 учащихся образовательных организаций городского округа.</w:t>
      </w:r>
    </w:p>
    <w:p w:rsidR="002C4835" w:rsidRPr="006F07ED" w:rsidRDefault="002C4835" w:rsidP="002C4835">
      <w:pPr>
        <w:spacing w:after="0" w:line="360" w:lineRule="auto"/>
        <w:ind w:left="-340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реализации  мероприятий «Концепции системы электронного образования в образовательных организациях Республики Башкортостан на 2013-2017 годы»  98,5 % учебных кабинетов  образовательных организаций городского округа обеспечены  высокоскоростным  доступом  к сети Интернет, 97 % учебных кабинетов оснащены компьютерами, 15 % учебных кабинетов оснащены интерактивными досками, 22 % учебных кабинетов оснащены современными  интерактивными средствами обучения (интерактивные доски, цифровые лаборатории, 3Д – класс, система опроса и тестирования, цифровые </w:t>
      </w:r>
      <w:r w:rsidRPr="006F07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микроскопы). В общеобразовательных организациях имеются </w:t>
      </w:r>
      <w:r w:rsidRPr="006F07E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Wi</w:t>
      </w:r>
      <w:r w:rsidRPr="006F07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6F07E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Fi</w:t>
      </w:r>
      <w:r w:rsidRPr="006F07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зоны. К сети  Интернет подключены 65,8 % школьных компьютеров. </w:t>
      </w:r>
    </w:p>
    <w:p w:rsidR="00DF5C4F" w:rsidRPr="006F07ED" w:rsidRDefault="00DF5C4F" w:rsidP="00123E64">
      <w:pPr>
        <w:pStyle w:val="a7"/>
        <w:spacing w:before="0" w:beforeAutospacing="0" w:after="0" w:afterAutospacing="0" w:line="360" w:lineRule="auto"/>
        <w:ind w:left="-340" w:firstLine="708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 </w:t>
      </w:r>
      <w:r w:rsidR="00A520E0" w:rsidRPr="006F07ED">
        <w:rPr>
          <w:color w:val="000000" w:themeColor="text1"/>
          <w:sz w:val="28"/>
          <w:szCs w:val="28"/>
        </w:rPr>
        <w:t>Г</w:t>
      </w:r>
      <w:r w:rsidR="006B4ABF" w:rsidRPr="006F07ED">
        <w:rPr>
          <w:color w:val="000000" w:themeColor="text1"/>
          <w:sz w:val="28"/>
          <w:szCs w:val="28"/>
        </w:rPr>
        <w:t>орячим питанием</w:t>
      </w:r>
      <w:r w:rsidR="00A520E0" w:rsidRPr="006F07ED">
        <w:rPr>
          <w:color w:val="000000" w:themeColor="text1"/>
          <w:sz w:val="28"/>
          <w:szCs w:val="28"/>
        </w:rPr>
        <w:t xml:space="preserve"> в 2016 году </w:t>
      </w:r>
      <w:r w:rsidR="006B4ABF" w:rsidRPr="006F07ED">
        <w:rPr>
          <w:color w:val="000000" w:themeColor="text1"/>
          <w:sz w:val="28"/>
          <w:szCs w:val="28"/>
        </w:rPr>
        <w:t xml:space="preserve"> </w:t>
      </w:r>
      <w:r w:rsidR="00A520E0" w:rsidRPr="006F07ED">
        <w:rPr>
          <w:color w:val="000000" w:themeColor="text1"/>
          <w:sz w:val="28"/>
          <w:szCs w:val="28"/>
        </w:rPr>
        <w:t xml:space="preserve">обеспечены 9170 учащихся </w:t>
      </w:r>
      <w:r w:rsidR="006B4ABF" w:rsidRPr="006F07ED">
        <w:rPr>
          <w:color w:val="000000" w:themeColor="text1"/>
          <w:sz w:val="28"/>
          <w:szCs w:val="28"/>
        </w:rPr>
        <w:t xml:space="preserve">образовательных </w:t>
      </w:r>
      <w:r w:rsidR="00A520E0" w:rsidRPr="006F07ED">
        <w:rPr>
          <w:color w:val="000000" w:themeColor="text1"/>
          <w:sz w:val="28"/>
          <w:szCs w:val="28"/>
        </w:rPr>
        <w:t xml:space="preserve">организаций городского округа, что составляет </w:t>
      </w:r>
      <w:r w:rsidR="006B4ABF" w:rsidRPr="006F07ED">
        <w:rPr>
          <w:color w:val="000000" w:themeColor="text1"/>
          <w:sz w:val="28"/>
          <w:szCs w:val="28"/>
        </w:rPr>
        <w:t xml:space="preserve"> 8</w:t>
      </w:r>
      <w:r w:rsidR="00A520E0" w:rsidRPr="006F07ED">
        <w:rPr>
          <w:color w:val="000000" w:themeColor="text1"/>
          <w:sz w:val="28"/>
          <w:szCs w:val="28"/>
        </w:rPr>
        <w:t>1,7</w:t>
      </w:r>
      <w:r w:rsidR="006B4ABF" w:rsidRPr="006F07ED">
        <w:rPr>
          <w:color w:val="000000" w:themeColor="text1"/>
          <w:sz w:val="28"/>
          <w:szCs w:val="28"/>
        </w:rPr>
        <w:t xml:space="preserve"> % от общего количества учащихся</w:t>
      </w:r>
      <w:r w:rsidR="00A520E0" w:rsidRPr="006F07ED">
        <w:rPr>
          <w:color w:val="000000" w:themeColor="text1"/>
          <w:sz w:val="28"/>
          <w:szCs w:val="28"/>
        </w:rPr>
        <w:t xml:space="preserve">. </w:t>
      </w:r>
    </w:p>
    <w:p w:rsidR="002C4835" w:rsidRPr="006F07ED" w:rsidRDefault="008A35EC" w:rsidP="00123E64">
      <w:pPr>
        <w:pStyle w:val="a7"/>
        <w:spacing w:before="0" w:beforeAutospacing="0" w:after="0" w:afterAutospacing="0" w:line="360" w:lineRule="auto"/>
        <w:ind w:left="-340" w:firstLine="708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Двадцать семь  муниципальных дошкольных образовательных организаций  на 6464  места посещает 6923 ребенка дошкольного возраста от 1,5 до 7 лет.  В результате проведения целенаправленной работы по созданию дополнительных дошкольных мест и сокращению очередности в муниципальные дошкольные образовательные учреждения открыто 362 дополнительных места (за счет ввода в эксплуатацию нового детского сада на 260 мест и увеличения проектной вместимости групп в действующих детских дошкольных учреждениях). </w:t>
      </w:r>
    </w:p>
    <w:p w:rsidR="004A6E8A" w:rsidRPr="006F07ED" w:rsidRDefault="008A35EC" w:rsidP="00123E64">
      <w:pPr>
        <w:pStyle w:val="a7"/>
        <w:spacing w:before="0" w:beforeAutospacing="0" w:after="0" w:afterAutospacing="0" w:line="360" w:lineRule="auto"/>
        <w:ind w:left="-340" w:firstLine="708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>Показатель охвата детей дошкольным образованием в возрасте от года до 6 лет на конец года составил 7</w:t>
      </w:r>
      <w:r w:rsidR="00072761" w:rsidRPr="006F07ED">
        <w:rPr>
          <w:color w:val="000000" w:themeColor="text1"/>
          <w:sz w:val="28"/>
          <w:szCs w:val="28"/>
        </w:rPr>
        <w:t>2,2</w:t>
      </w:r>
      <w:r w:rsidRPr="006F07ED">
        <w:rPr>
          <w:color w:val="000000" w:themeColor="text1"/>
          <w:sz w:val="28"/>
          <w:szCs w:val="28"/>
        </w:rPr>
        <w:t>%. Доля детей в возрасте от 3 до 7 лет, охваченных разными формами дошкольного образования, от общей численности детей дошкольного возраста, проживающих в городском округе и нуждающихся в разных формах дошкольного образования, составила 98</w:t>
      </w:r>
      <w:r w:rsidR="00072761" w:rsidRPr="006F07ED">
        <w:rPr>
          <w:color w:val="000000" w:themeColor="text1"/>
          <w:sz w:val="28"/>
          <w:szCs w:val="28"/>
        </w:rPr>
        <w:t>,2</w:t>
      </w:r>
      <w:r w:rsidRPr="006F07ED">
        <w:rPr>
          <w:color w:val="000000" w:themeColor="text1"/>
          <w:sz w:val="28"/>
          <w:szCs w:val="28"/>
        </w:rPr>
        <w:t>%.</w:t>
      </w:r>
      <w:r w:rsidR="004A6E8A" w:rsidRPr="006F07ED">
        <w:rPr>
          <w:color w:val="000000" w:themeColor="text1"/>
          <w:sz w:val="28"/>
          <w:szCs w:val="28"/>
        </w:rPr>
        <w:t xml:space="preserve"> В 4 дошкольных образовательных организациях реализуются программы коррекционной направленности для 236 </w:t>
      </w:r>
      <w:proofErr w:type="gramStart"/>
      <w:r w:rsidR="004A6E8A" w:rsidRPr="006F07ED">
        <w:rPr>
          <w:color w:val="000000" w:themeColor="text1"/>
          <w:sz w:val="28"/>
          <w:szCs w:val="28"/>
        </w:rPr>
        <w:t>детей  с</w:t>
      </w:r>
      <w:proofErr w:type="gramEnd"/>
      <w:r w:rsidR="004A6E8A" w:rsidRPr="006F07ED">
        <w:rPr>
          <w:color w:val="000000" w:themeColor="text1"/>
          <w:sz w:val="28"/>
          <w:szCs w:val="28"/>
        </w:rPr>
        <w:t xml:space="preserve"> ограниченными возможностями здоровья. Услуги дошкольного образования получают 48 детей инвалидов.</w:t>
      </w:r>
    </w:p>
    <w:p w:rsidR="008A35EC" w:rsidRPr="006F07ED" w:rsidRDefault="008A35EC" w:rsidP="004A6E8A">
      <w:pPr>
        <w:pStyle w:val="a7"/>
        <w:spacing w:before="0" w:beforeAutospacing="0" w:after="0" w:afterAutospacing="0" w:line="360" w:lineRule="auto"/>
        <w:ind w:left="-340" w:firstLine="708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Неудовлетворенная потребность в местах дошкольных образовательных </w:t>
      </w:r>
      <w:proofErr w:type="gramStart"/>
      <w:r w:rsidR="00335464" w:rsidRPr="006F07ED">
        <w:rPr>
          <w:color w:val="000000" w:themeColor="text1"/>
          <w:sz w:val="28"/>
          <w:szCs w:val="28"/>
        </w:rPr>
        <w:t xml:space="preserve">организаций </w:t>
      </w:r>
      <w:r w:rsidRPr="006F07ED">
        <w:rPr>
          <w:color w:val="000000" w:themeColor="text1"/>
          <w:sz w:val="28"/>
          <w:szCs w:val="28"/>
        </w:rPr>
        <w:t xml:space="preserve"> для</w:t>
      </w:r>
      <w:proofErr w:type="gramEnd"/>
      <w:r w:rsidRPr="006F07ED">
        <w:rPr>
          <w:color w:val="000000" w:themeColor="text1"/>
          <w:sz w:val="28"/>
          <w:szCs w:val="28"/>
        </w:rPr>
        <w:t xml:space="preserve"> детей 3-7 лет в городском округе отсутствует.</w:t>
      </w:r>
    </w:p>
    <w:p w:rsidR="005E06A0" w:rsidRPr="006F07ED" w:rsidRDefault="005E06A0" w:rsidP="004A6E8A">
      <w:pPr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выполнения городской муниципальной программы «Развитие системы образования городского округа город Октябрьский Республики Башкортостан» вс</w:t>
      </w:r>
      <w:r w:rsidRPr="006F07E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еми  формами  отдыха,  оздоровления и занятости  в 2016 году  было охвачено 13429  детей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В загородных оздоровительных лагерях отдохнули  270 детей. </w:t>
      </w:r>
    </w:p>
    <w:p w:rsidR="00E31D88" w:rsidRPr="006F07ED" w:rsidRDefault="00E31D88" w:rsidP="00E31D88">
      <w:pPr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Услуги  дополнительного</w:t>
      </w:r>
      <w:proofErr w:type="gramEnd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получают  6990 детей в 5 организациях дополнительного образования различной направленности:  Дворец детского и юношеского творчества,  детский эколого-биологический центр, станция юных техников,  станция детского и юношеского туризма и экскурсий, детская хореографическая школа. </w:t>
      </w:r>
    </w:p>
    <w:p w:rsidR="007B13CC" w:rsidRPr="006F07ED" w:rsidRDefault="007B13CC" w:rsidP="00E31D88">
      <w:pPr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F32" w:rsidRPr="006F07ED" w:rsidRDefault="00371D91" w:rsidP="00371D91">
      <w:pPr>
        <w:pStyle w:val="3"/>
        <w:spacing w:after="0" w:line="360" w:lineRule="auto"/>
        <w:jc w:val="both"/>
        <w:rPr>
          <w:b/>
          <w:color w:val="000000" w:themeColor="text1"/>
          <w:sz w:val="28"/>
          <w:szCs w:val="28"/>
        </w:rPr>
      </w:pPr>
      <w:r w:rsidRPr="006F07ED">
        <w:rPr>
          <w:b/>
          <w:color w:val="000000" w:themeColor="text1"/>
          <w:sz w:val="28"/>
          <w:szCs w:val="28"/>
        </w:rPr>
        <w:t>Здравоохранение</w:t>
      </w:r>
    </w:p>
    <w:p w:rsidR="003C6970" w:rsidRPr="006F07ED" w:rsidRDefault="003C6970" w:rsidP="003C6970">
      <w:pPr>
        <w:spacing w:after="0" w:line="360" w:lineRule="auto"/>
        <w:ind w:left="-34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Медицинская помощь населению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  оказывалась в 2016  году в бюджетном  учреждении  ГБУЗ  Республики  Башкортостан  «Городская больница № 1», включающим в себя 7 подразделений: стационар №1, стационар №2, Детский стационар, 4 стационарных отделения – родильное, кожно-венерологическое, наркологическое, психоневрологическое, ГБУЗ Республики Башкортостан «Стоматологическая поликлиника г. Октябрьский», в детских санаториях «Росток» и «</w:t>
      </w:r>
      <w:proofErr w:type="spell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Толпар</w:t>
      </w:r>
      <w:proofErr w:type="spellEnd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»; в Октябрьском филиале ГБУЗ Республиканского клинического  противотуберкулезного диспансера, Октябрьском филиале  ГБУЗ  «Республиканская станция переливания крови».</w:t>
      </w:r>
    </w:p>
    <w:p w:rsidR="003C6970" w:rsidRPr="006F07ED" w:rsidRDefault="003C6970" w:rsidP="003C6970">
      <w:pPr>
        <w:spacing w:after="0" w:line="360" w:lineRule="auto"/>
        <w:ind w:left="-3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Стационарные отделения развернуты на 622 круглосуточные койки. Доступность амбулаторно-поликлинической помощи составила 222,9 посещения в смену на 10 тыс. жителей. </w:t>
      </w:r>
    </w:p>
    <w:p w:rsidR="007B13CC" w:rsidRPr="006F07ED" w:rsidRDefault="007B13CC" w:rsidP="003C6970">
      <w:pPr>
        <w:spacing w:after="0" w:line="360" w:lineRule="auto"/>
        <w:ind w:left="-3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970" w:rsidRPr="006F07ED" w:rsidRDefault="00F5293E" w:rsidP="00371D91">
      <w:pPr>
        <w:pStyle w:val="3"/>
        <w:spacing w:after="0" w:line="360" w:lineRule="auto"/>
        <w:jc w:val="both"/>
        <w:rPr>
          <w:b/>
          <w:color w:val="000000" w:themeColor="text1"/>
          <w:sz w:val="28"/>
          <w:szCs w:val="28"/>
        </w:rPr>
      </w:pPr>
      <w:r w:rsidRPr="006F07ED">
        <w:rPr>
          <w:b/>
          <w:color w:val="000000" w:themeColor="text1"/>
          <w:sz w:val="28"/>
          <w:szCs w:val="28"/>
        </w:rPr>
        <w:t>Культура и искусство</w:t>
      </w:r>
    </w:p>
    <w:p w:rsidR="00F5293E" w:rsidRPr="006F07ED" w:rsidRDefault="00F5293E" w:rsidP="00F5293E">
      <w:pPr>
        <w:suppressAutoHyphens/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В 2016 году</w:t>
      </w:r>
      <w:r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учреждения культуры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приняли участие в </w:t>
      </w:r>
      <w:proofErr w:type="gram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99  Международных</w:t>
      </w:r>
      <w:proofErr w:type="gramEnd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,  Всероссийских и Республиканских фестивалях, конкурсах: Международный фестиваль-конкурс «Морозные узоры», «На крыльях таланта», «Волшебная гармонь», «Планета талантов»,  Международный конкурс - фестиваль «</w:t>
      </w:r>
      <w:proofErr w:type="spell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Баховская</w:t>
      </w:r>
      <w:proofErr w:type="spellEnd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весна», Международный конкурс – фестиваль «Страна души», Международный конкурс – фестиваль «Восходящие звезды», Всероссийский конкурс исполнительских искусств «Золотая лестница». За высокое исполнительское мастерство им присуждено 412 призовых мест.</w:t>
      </w:r>
    </w:p>
    <w:p w:rsidR="00F5293E" w:rsidRPr="006F07ED" w:rsidRDefault="00F5293E" w:rsidP="00F5293E">
      <w:pPr>
        <w:suppressAutoHyphens/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Существующая в настоящее время сеть учреждений городского округа включает в себя: 2 дома культуры, 1 кинотеатр, 11 библиотек (Центральная городская библиотека, Центральная детская библиотека и 9 библиотек-филиалов), музей, 2 школы искусств, художественную школу, Центр национальных культур.</w:t>
      </w:r>
    </w:p>
    <w:p w:rsidR="00F5293E" w:rsidRPr="006F07ED" w:rsidRDefault="00F5293E" w:rsidP="00F5293E">
      <w:pPr>
        <w:suppressAutoHyphens/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читателей в библиотеках городского округа превысило 49 тыс. человек, библиотечный фонд насчитывает </w:t>
      </w:r>
      <w:proofErr w:type="gram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477433  экземпляра</w:t>
      </w:r>
      <w:proofErr w:type="gramEnd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5293E" w:rsidRPr="006F07ED" w:rsidRDefault="00F5293E" w:rsidP="00F5293E">
      <w:pPr>
        <w:spacing w:after="0" w:line="360" w:lineRule="auto"/>
        <w:ind w:left="-3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популяризации литературы и привлечения новых читателей библиотекари используют все многообразие форм библиотечной работы: это  творческие вечера, фольклорные праздники, конкурсы, викторины, познавательно-игровые программы, акции, разнообразные тематические и фотовыставки.</w:t>
      </w:r>
    </w:p>
    <w:p w:rsidR="00F5293E" w:rsidRPr="006F07ED" w:rsidRDefault="00F5293E" w:rsidP="00F5293E">
      <w:pPr>
        <w:spacing w:after="0" w:line="360" w:lineRule="auto"/>
        <w:ind w:left="-3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трех библиотеках функционируют информационно-консультационное бюро и центры правовой информации. На базе модельной библиотеки - филиала №2 действует тифлоцентр «Перспектива» для незрячих и слабовидящих граждан.</w:t>
      </w:r>
    </w:p>
    <w:p w:rsidR="00F5293E" w:rsidRPr="006F07ED" w:rsidRDefault="00F5293E" w:rsidP="00F5293E">
      <w:pPr>
        <w:spacing w:after="0" w:line="360" w:lineRule="auto"/>
        <w:ind w:left="-3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музейного фонда составляет 33725 единиц хранения. За год объем музейного фонда увеличился на 250 единиц хранения. В течение отчетного года 57 выставок («Радуга камня», «Я люблю свой город», «Фотолетопись г.Октябрьский», «Октябрьский и октябрьцы», «Герои кино и мультфильмов, а также великие политики», «Потомки Рюрика», </w:t>
      </w:r>
      <w:r w:rsidR="0072735A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День дарителя», «</w:t>
      </w:r>
      <w:proofErr w:type="gram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Страна  </w:t>
      </w:r>
      <w:proofErr w:type="spell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Шурале</w:t>
      </w:r>
      <w:proofErr w:type="spellEnd"/>
      <w:proofErr w:type="gramEnd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», «Культура и быт башкир» и др.) посетили 23386 человек.</w:t>
      </w:r>
    </w:p>
    <w:p w:rsidR="00F5293E" w:rsidRPr="006F07ED" w:rsidRDefault="00F5293E" w:rsidP="00F5293E">
      <w:pPr>
        <w:suppressAutoHyphens/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учреждениях культуры городского округа плодотворно работают 26 клубных формирований самодеятельного народного творчества (хоровые, вокальные, хореографические, театральные, оркестры народных инструментов, духовой оркестр, фольклорные), в которых занимаются 737 человек. </w:t>
      </w:r>
    </w:p>
    <w:p w:rsidR="00F5293E" w:rsidRPr="006F07ED" w:rsidRDefault="00F5293E" w:rsidP="00F5293E">
      <w:pPr>
        <w:suppressAutoHyphens/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В трех учреждениях дополнительного образования: двух детских школах искусств и детской художественной школе занимаются 1116 учащихся в возрасте от 7 до 17 лет.</w:t>
      </w:r>
    </w:p>
    <w:p w:rsidR="00F5293E" w:rsidRPr="006F07ED" w:rsidRDefault="00A87827" w:rsidP="00371D91">
      <w:pPr>
        <w:pStyle w:val="3"/>
        <w:spacing w:after="0" w:line="360" w:lineRule="auto"/>
        <w:jc w:val="both"/>
        <w:rPr>
          <w:b/>
          <w:color w:val="000000" w:themeColor="text1"/>
          <w:sz w:val="28"/>
          <w:szCs w:val="28"/>
        </w:rPr>
      </w:pPr>
      <w:r w:rsidRPr="006F07ED">
        <w:rPr>
          <w:b/>
          <w:color w:val="000000" w:themeColor="text1"/>
          <w:sz w:val="28"/>
          <w:szCs w:val="28"/>
        </w:rPr>
        <w:lastRenderedPageBreak/>
        <w:t>Физическая культура и спорт</w:t>
      </w:r>
    </w:p>
    <w:p w:rsidR="00A87827" w:rsidRPr="006F07ED" w:rsidRDefault="00A87827" w:rsidP="00A87827">
      <w:pPr>
        <w:pStyle w:val="a7"/>
        <w:spacing w:before="0" w:beforeAutospacing="0" w:after="0" w:afterAutospacing="0" w:line="360" w:lineRule="auto"/>
        <w:ind w:left="-340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    В целях развития </w:t>
      </w:r>
      <w:r w:rsidRPr="006F07ED">
        <w:rPr>
          <w:b/>
          <w:color w:val="000000" w:themeColor="text1"/>
          <w:sz w:val="28"/>
          <w:szCs w:val="28"/>
        </w:rPr>
        <w:t>физической культуры и спорта в городском округе</w:t>
      </w:r>
      <w:r w:rsidRPr="006F07ED">
        <w:rPr>
          <w:color w:val="000000" w:themeColor="text1"/>
          <w:sz w:val="28"/>
          <w:szCs w:val="28"/>
        </w:rPr>
        <w:t xml:space="preserve"> деятельность органов местного самоуправления направлена на укрепление физического и нравственного здоровья населения, внедрение здорового образа жизни, совершенствование системы подготовки спортсменов высокого класса и спорта высших достижений, развитие спортивной инфраструктуры.</w:t>
      </w:r>
    </w:p>
    <w:p w:rsidR="00A87827" w:rsidRPr="006F07ED" w:rsidRDefault="00A87827" w:rsidP="00A87827">
      <w:pPr>
        <w:pStyle w:val="a7"/>
        <w:spacing w:before="0" w:beforeAutospacing="0" w:after="0" w:afterAutospacing="0" w:line="360" w:lineRule="auto"/>
        <w:ind w:left="-340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         Степень вовлеченности населения города в занятия физической культурой и спортом характеризуется удельным весом населения, систематически занимающегося физической культурой и спортом, от общей численности населения. Данный показатель за  2016 год  составил 33,17%. </w:t>
      </w:r>
    </w:p>
    <w:p w:rsidR="00A87827" w:rsidRPr="006F07ED" w:rsidRDefault="00A87827" w:rsidP="00A87827">
      <w:pPr>
        <w:pStyle w:val="a7"/>
        <w:spacing w:before="0" w:beforeAutospacing="0" w:after="0" w:afterAutospacing="0" w:line="360" w:lineRule="auto"/>
        <w:ind w:left="-340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           Достигнутый показатель сложился в результате расширения услуг в сфере физической культуры и спорта, строительства спортивных площадок, активизации массовой спортивно-оздоровительной работы.</w:t>
      </w:r>
    </w:p>
    <w:p w:rsidR="00A87827" w:rsidRPr="006F07ED" w:rsidRDefault="00A87827" w:rsidP="00A87827">
      <w:pPr>
        <w:pStyle w:val="a7"/>
        <w:spacing w:before="0" w:beforeAutospacing="0" w:after="0" w:afterAutospacing="0" w:line="360" w:lineRule="auto"/>
        <w:ind w:left="-340"/>
        <w:jc w:val="both"/>
        <w:rPr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             Для занятий физической культурой, спортом и туризмом в городском округе </w:t>
      </w:r>
      <w:proofErr w:type="gramStart"/>
      <w:r w:rsidRPr="006F07ED">
        <w:rPr>
          <w:color w:val="000000" w:themeColor="text1"/>
          <w:sz w:val="28"/>
          <w:szCs w:val="28"/>
        </w:rPr>
        <w:t xml:space="preserve">функционируют:   </w:t>
      </w:r>
      <w:proofErr w:type="gramEnd"/>
      <w:r w:rsidRPr="006F07ED">
        <w:rPr>
          <w:color w:val="000000" w:themeColor="text1"/>
          <w:sz w:val="28"/>
          <w:szCs w:val="28"/>
        </w:rPr>
        <w:t>стадион «Нефтяник»,  Дворец спорта, спортивный комплекс «Девон», горнолыжный комплекс «</w:t>
      </w:r>
      <w:proofErr w:type="spellStart"/>
      <w:r w:rsidRPr="006F07ED">
        <w:rPr>
          <w:color w:val="000000" w:themeColor="text1"/>
          <w:sz w:val="28"/>
          <w:szCs w:val="28"/>
        </w:rPr>
        <w:t>Уязы</w:t>
      </w:r>
      <w:proofErr w:type="spellEnd"/>
      <w:r w:rsidRPr="006F07ED">
        <w:rPr>
          <w:color w:val="000000" w:themeColor="text1"/>
          <w:sz w:val="28"/>
          <w:szCs w:val="28"/>
        </w:rPr>
        <w:t>-Тау», спортивный комплекс «Апельсин сити», спортивно-оздоровительный комплекс «Спартак», городской тир.</w:t>
      </w:r>
    </w:p>
    <w:p w:rsidR="00A87827" w:rsidRPr="006F07ED" w:rsidRDefault="00A87827" w:rsidP="00A87827">
      <w:pPr>
        <w:spacing w:after="0" w:line="360" w:lineRule="auto"/>
        <w:ind w:left="-3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календарным планом физкультурных, спортивных и массовых спортивно-зрелищных спортивно-массовых мероприятий за январь – декабрь 2016 года в городском округе  проведено 579 мероприятия  различного уровня, из которых 18  всероссийских и 2 республиканских. Семнадцать </w:t>
      </w:r>
      <w:proofErr w:type="spell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спортиных</w:t>
      </w:r>
      <w:proofErr w:type="spellEnd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соревнований были посвящены 70-летию города.</w:t>
      </w:r>
    </w:p>
    <w:p w:rsidR="00A87827" w:rsidRPr="006F07ED" w:rsidRDefault="00A87827" w:rsidP="00A87827">
      <w:pPr>
        <w:spacing w:after="0" w:line="360" w:lineRule="auto"/>
        <w:ind w:left="-3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международных соревнованиях приняли участие 42 спортсмена из городского округа (5 победителей и 16 призеров), во всероссийских соревнованиях – 1292 спортсмена (123 победителя и 247 призеров), в республиканских 3109 спортсмена (382 победителя и 729 призеров).</w:t>
      </w:r>
    </w:p>
    <w:p w:rsidR="00A87827" w:rsidRPr="006F07ED" w:rsidRDefault="00A87827" w:rsidP="00A87827">
      <w:pPr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Во всех спортивных мероприятиях, проводимых в течение  2016 года, приняли участие более</w:t>
      </w:r>
      <w:r w:rsidR="00402E0D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 тыс. человек, подготовлено 21 мастер спорта России, 88 кандидатов  в мастера спорта. </w:t>
      </w:r>
    </w:p>
    <w:p w:rsidR="00A87827" w:rsidRPr="006F07ED" w:rsidRDefault="00A87827" w:rsidP="00A87827">
      <w:pPr>
        <w:spacing w:after="0" w:line="360" w:lineRule="auto"/>
        <w:ind w:left="-28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Работа высокопрофессионального тренерско-преподавательского состава обеспечивает рост мастерства спортсменов городского округа, которые  показали высокие результаты, завоевав  5 золотых, 1 серебряную  и 7 бронзовых медалей на Чемпионатах, Первенствах и Кубках Мира и  Европы  в 8 видах спорта: 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Юрий Поляков - победитель Чемпионата Европы по баскетболу среди ветеранов,  </w:t>
      </w:r>
      <w:proofErr w:type="spellStart"/>
      <w:r w:rsidRPr="006F07ED">
        <w:rPr>
          <w:rFonts w:ascii="Times New Roman" w:hAnsi="Times New Roman"/>
          <w:color w:val="000000" w:themeColor="text1"/>
          <w:sz w:val="28"/>
          <w:szCs w:val="28"/>
        </w:rPr>
        <w:t>Наим</w:t>
      </w:r>
      <w:proofErr w:type="spell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Давидов , </w:t>
      </w:r>
      <w:proofErr w:type="spellStart"/>
      <w:r w:rsidRPr="006F07ED">
        <w:rPr>
          <w:rFonts w:ascii="Times New Roman" w:hAnsi="Times New Roman"/>
          <w:color w:val="000000" w:themeColor="text1"/>
          <w:sz w:val="28"/>
          <w:szCs w:val="28"/>
        </w:rPr>
        <w:t>Рузиль</w:t>
      </w:r>
      <w:proofErr w:type="spell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F07ED">
        <w:rPr>
          <w:rFonts w:ascii="Times New Roman" w:hAnsi="Times New Roman"/>
          <w:color w:val="000000" w:themeColor="text1"/>
          <w:sz w:val="28"/>
          <w:szCs w:val="28"/>
        </w:rPr>
        <w:t>Гайсаров</w:t>
      </w:r>
      <w:proofErr w:type="spell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, Ильмир </w:t>
      </w:r>
      <w:proofErr w:type="spellStart"/>
      <w:r w:rsidRPr="006F07ED">
        <w:rPr>
          <w:rFonts w:ascii="Times New Roman" w:hAnsi="Times New Roman"/>
          <w:color w:val="000000" w:themeColor="text1"/>
          <w:sz w:val="28"/>
          <w:szCs w:val="28"/>
        </w:rPr>
        <w:t>Ханипов</w:t>
      </w:r>
      <w:proofErr w:type="spell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, Денис Халилов и Артем Кошелев  – бронзовые  призеры Кубка Мира по кикбоксингу,  Ян Урусов – чемпион мира и Европы  по пауэрлифтингу,   </w:t>
      </w:r>
      <w:proofErr w:type="spellStart"/>
      <w:r w:rsidRPr="006F07ED">
        <w:rPr>
          <w:rFonts w:ascii="Times New Roman" w:hAnsi="Times New Roman"/>
          <w:color w:val="000000" w:themeColor="text1"/>
          <w:sz w:val="28"/>
          <w:szCs w:val="28"/>
        </w:rPr>
        <w:t>Аделина</w:t>
      </w:r>
      <w:proofErr w:type="spell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F07ED">
        <w:rPr>
          <w:rFonts w:ascii="Times New Roman" w:hAnsi="Times New Roman"/>
          <w:color w:val="000000" w:themeColor="text1"/>
          <w:sz w:val="28"/>
          <w:szCs w:val="28"/>
        </w:rPr>
        <w:t>Разетдинова</w:t>
      </w:r>
      <w:proofErr w:type="spell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– победительница Всемирных игр среди инвалидов, Максим </w:t>
      </w:r>
      <w:proofErr w:type="spellStart"/>
      <w:r w:rsidRPr="006F07ED">
        <w:rPr>
          <w:rFonts w:ascii="Times New Roman" w:hAnsi="Times New Roman"/>
          <w:color w:val="000000" w:themeColor="text1"/>
          <w:sz w:val="28"/>
          <w:szCs w:val="28"/>
        </w:rPr>
        <w:t>Яндубаев</w:t>
      </w:r>
      <w:proofErr w:type="spell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– серебряный призер Чемпионата мира по </w:t>
      </w:r>
      <w:proofErr w:type="spellStart"/>
      <w:r w:rsidRPr="006F07ED">
        <w:rPr>
          <w:rFonts w:ascii="Times New Roman" w:hAnsi="Times New Roman"/>
          <w:color w:val="000000" w:themeColor="text1"/>
          <w:sz w:val="28"/>
          <w:szCs w:val="28"/>
        </w:rPr>
        <w:t>армлестлингу</w:t>
      </w:r>
      <w:proofErr w:type="spell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proofErr w:type="spellStart"/>
      <w:r w:rsidRPr="006F07ED">
        <w:rPr>
          <w:rFonts w:ascii="Times New Roman" w:hAnsi="Times New Roman"/>
          <w:color w:val="000000" w:themeColor="text1"/>
          <w:sz w:val="28"/>
          <w:szCs w:val="28"/>
        </w:rPr>
        <w:t>Арслан</w:t>
      </w:r>
      <w:proofErr w:type="spell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F07ED">
        <w:rPr>
          <w:rFonts w:ascii="Times New Roman" w:hAnsi="Times New Roman"/>
          <w:color w:val="000000" w:themeColor="text1"/>
          <w:sz w:val="28"/>
          <w:szCs w:val="28"/>
        </w:rPr>
        <w:t>Файзуллин</w:t>
      </w:r>
      <w:proofErr w:type="spell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– бронзовый призер Кубка Европы среди молодежи по спидвею, Николай Миронов – бронзовый призер  первенства мира среди юниоров по борьбе на поясах, Дамир </w:t>
      </w:r>
      <w:proofErr w:type="spellStart"/>
      <w:r w:rsidRPr="006F07ED">
        <w:rPr>
          <w:rFonts w:ascii="Times New Roman" w:hAnsi="Times New Roman"/>
          <w:color w:val="000000" w:themeColor="text1"/>
          <w:sz w:val="28"/>
          <w:szCs w:val="28"/>
        </w:rPr>
        <w:t>Миннигалимов</w:t>
      </w:r>
      <w:proofErr w:type="spell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– победитель Чемпионата мира среди ветеранов по самбо.</w:t>
      </w:r>
    </w:p>
    <w:p w:rsidR="007B13CC" w:rsidRPr="006F07ED" w:rsidRDefault="007B13CC" w:rsidP="00A87827">
      <w:pPr>
        <w:spacing w:after="0" w:line="360" w:lineRule="auto"/>
        <w:ind w:left="-28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7827" w:rsidRPr="006F07ED" w:rsidRDefault="00662833" w:rsidP="006628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Молодежная политика</w:t>
      </w:r>
    </w:p>
    <w:p w:rsidR="00A424E7" w:rsidRPr="006F07ED" w:rsidRDefault="00283EA7" w:rsidP="00A424E7">
      <w:pPr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Основная цель  реализации молодежной политики</w:t>
      </w:r>
      <w:r w:rsidR="00AE4728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C3E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оздание условий и возможностей для успешной социализации и эффективной самореализации молодежи, развития ее потенциала.</w:t>
      </w:r>
      <w:r w:rsidR="00A424E7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Реализация молодежной политики на территории городского округа в соответствии с муниципальной программой  « Развитие молодежной политики в городском округе город Октябрьский Республики Башкортостан» проводится по следующим направлениям:</w:t>
      </w:r>
    </w:p>
    <w:p w:rsidR="00E07D9F" w:rsidRPr="006F07ED" w:rsidRDefault="00E07D9F" w:rsidP="00A424E7">
      <w:pPr>
        <w:spacing w:after="0" w:line="360" w:lineRule="auto"/>
        <w:ind w:left="-3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реализация творческих инициатив молодежи, в том числе кружковая деятельность</w:t>
      </w:r>
    </w:p>
    <w:p w:rsidR="00045DB3" w:rsidRPr="006F07ED" w:rsidRDefault="00045DB3" w:rsidP="00A424E7">
      <w:pPr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МБУ «Дворец молодежи» действуют 10 молодежных общественных объединений и творческих кружков: отделение молодежной общественной организации «Российские Студенческие Отряды», Октябрьское отделение общероссийской общественной организации Российский Союз Молодежи, Региональный штаб Всероссийского общественного движения «Волонтеры Победы», </w:t>
      </w:r>
      <w:proofErr w:type="spell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Башкортостанское</w:t>
      </w:r>
      <w:proofErr w:type="spellEnd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региональное отделение Всероссийской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общественной организации «Молодая Гвардия Единой России», Добровольческое молодежное движение «ВМЕСТЕ», экологическое общественное объединение, военно-патриотический клуб «Гвардия», образцовый коллектив современного танца «</w:t>
      </w:r>
      <w:r w:rsidR="004A132C" w:rsidRPr="006F07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Dice</w:t>
      </w:r>
      <w:r w:rsidR="004A132C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132C" w:rsidRPr="006F07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Box</w:t>
      </w:r>
      <w:r w:rsidR="004A132C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», танцевальная студия «Кармен», вокальная студия «</w:t>
      </w:r>
      <w:r w:rsidR="004A132C" w:rsidRPr="006F07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Smile</w:t>
      </w:r>
      <w:r w:rsidR="004A132C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», численность которых составляет 1250 человек.</w:t>
      </w:r>
    </w:p>
    <w:p w:rsidR="00361FEF" w:rsidRPr="006F07ED" w:rsidRDefault="00361FEF" w:rsidP="00A424E7">
      <w:pPr>
        <w:spacing w:after="0" w:line="360" w:lineRule="auto"/>
        <w:ind w:left="-3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гражданско-патриотическое воспитание, развитие и поддержка лидерских и социально-активных позиций</w:t>
      </w:r>
    </w:p>
    <w:p w:rsidR="00A424E7" w:rsidRPr="006F07ED" w:rsidRDefault="00361FEF" w:rsidP="00A424E7">
      <w:pPr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D9F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Данное направление нацелено на формирование в молодежной среде гражданско-патриотического отношения к малой Родине, уважения к её истории, культуре, традициям, уважения к государственности России в целом, на повышение уровня гражданско-патриотического сознания и поведения молодежи; противодействие экстремистским проявлениям в молодежной среде, формирование толерантности; развитие межкультурного и межнационального общения, дружбы, готовности молодежи к защите своего Отечества.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года</w:t>
      </w:r>
      <w:r w:rsidR="00E07D9F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31 мероприятие: конкурс-фестиваль «Солдатская песня»</w:t>
      </w:r>
      <w:r w:rsidR="00B05FEB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. В течение двух лет реализуется молодежный проект «Лица Победы». Выпущены 2 книги, в 2017 году предусмотрен выпуск 3 книги.</w:t>
      </w:r>
      <w:r w:rsidR="004A132C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экземпляр </w:t>
      </w:r>
      <w:r w:rsidR="00EB5261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книги «Лица Победы» вручен Президенту Российской Федерации </w:t>
      </w:r>
      <w:proofErr w:type="spellStart"/>
      <w:r w:rsidR="00EB5261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В.В.Путину</w:t>
      </w:r>
      <w:proofErr w:type="spellEnd"/>
      <w:r w:rsidR="00EB5261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5261" w:rsidRPr="006F07ED" w:rsidRDefault="00EB5261" w:rsidP="00A424E7">
      <w:pPr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Четверо победителей конкурса «Послы Победы» приняли участие в Параде Победы в городах Москва и Севастополь.</w:t>
      </w:r>
    </w:p>
    <w:p w:rsidR="00AE4728" w:rsidRPr="006F07ED" w:rsidRDefault="00361FEF" w:rsidP="00361FEF">
      <w:pPr>
        <w:spacing w:after="0" w:line="360" w:lineRule="auto"/>
        <w:ind w:left="-3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пропаганда здорового образа жизни и профилактика асоциальных явлений</w:t>
      </w:r>
    </w:p>
    <w:p w:rsidR="000C2C08" w:rsidRPr="006F07ED" w:rsidRDefault="000C2C08" w:rsidP="000C2C08">
      <w:pPr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негативных явлений в молодежной среде, содействие социализации молодежи, находящейся в трудной жизненной ситуации,</w:t>
      </w:r>
      <w:r w:rsidRPr="006F07E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формирование здорового образа жизни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реализовывалась через проведение мероприятий спортивной и профилактической направленности: велопробег «Эко-</w:t>
      </w:r>
      <w:proofErr w:type="spell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велодень</w:t>
      </w:r>
      <w:proofErr w:type="spellEnd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интерактивная игра на свежем воздухе «Битва снеговиков», акции  «Поменяй сигарету на конфету», «Сохрани себя и свое будущее», «Стоп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ВИЧ/СПИД», «Сообщи, где торгуют смертью», «Лента жизни», «Молодежь за ЖОЗ», «Подари жизнь», «Спайс яд»</w:t>
      </w:r>
      <w:r w:rsidR="004E1FF3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, участие в которых приняли 5537 человек.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</w:p>
    <w:p w:rsidR="0091590D" w:rsidRPr="006F07ED" w:rsidRDefault="0091590D" w:rsidP="00361FEF">
      <w:pPr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E1FF3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 </w:t>
      </w:r>
      <w:proofErr w:type="gramStart"/>
      <w:r w:rsidR="004E1FF3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85</w:t>
      </w:r>
      <w:proofErr w:type="gramEnd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мероприятиях (проектах, программах) по основным направлениям реализации молодежной политики  в  2016 году  приняло участие 37571 человек.</w:t>
      </w:r>
    </w:p>
    <w:p w:rsidR="007B13CC" w:rsidRPr="006F07ED" w:rsidRDefault="007B13CC" w:rsidP="00361FEF">
      <w:pPr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A08" w:rsidRPr="006F07ED" w:rsidRDefault="00207A08" w:rsidP="00613783">
      <w:pPr>
        <w:spacing w:after="0" w:line="360" w:lineRule="auto"/>
        <w:ind w:left="-3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Обеспечение </w:t>
      </w:r>
      <w:r w:rsidR="00A92875"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общественной безопасности и правопорядка</w:t>
      </w:r>
    </w:p>
    <w:p w:rsidR="00613783" w:rsidRPr="006F07ED" w:rsidRDefault="00613783" w:rsidP="00613783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муниципальной программой проводится целенаправленная работа </w:t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>по профилактике правонарушений и преступлений, злоупотребления наркотиками и борьба с незаконным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>оборотом наркотиков,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по защите прав несовершеннолетних, профилактике безнадзорности и правонарушений среди несовершеннолетних и молодежи. </w:t>
      </w:r>
    </w:p>
    <w:p w:rsidR="00613783" w:rsidRPr="006F07ED" w:rsidRDefault="00613783" w:rsidP="00613783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В   2016 году наблюдается  снижение  общего уровня преступности и отдельных её видов. Зарегистрировано 1991 преступление, что на 14% меньше, чем в 2015 году. Сократилось количество преступлений, </w:t>
      </w:r>
      <w:proofErr w:type="gramStart"/>
      <w:r w:rsidRPr="006F07ED">
        <w:rPr>
          <w:rFonts w:ascii="Times New Roman" w:hAnsi="Times New Roman"/>
          <w:color w:val="000000" w:themeColor="text1"/>
          <w:sz w:val="28"/>
          <w:szCs w:val="28"/>
        </w:rPr>
        <w:t>совершенных  в</w:t>
      </w:r>
      <w:proofErr w:type="gramEnd"/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общественных местах с 1104 в 2015 году до 968 преступлений в 2016 году.</w:t>
      </w:r>
    </w:p>
    <w:p w:rsidR="007B13CC" w:rsidRPr="006F07ED" w:rsidRDefault="007B13CC" w:rsidP="00613783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2875" w:rsidRPr="006F07ED" w:rsidRDefault="00AA4F32" w:rsidP="006628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</w:t>
      </w:r>
      <w:r w:rsidR="00A92875"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ффективное управление муниципальным образованием </w:t>
      </w:r>
    </w:p>
    <w:p w:rsidR="00A92875" w:rsidRPr="006F07ED" w:rsidRDefault="00A92875" w:rsidP="006628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Управление муниципальной собственностью </w:t>
      </w:r>
    </w:p>
    <w:p w:rsidR="00F2416A" w:rsidRPr="006F07ED" w:rsidRDefault="00F2416A" w:rsidP="00F2416A">
      <w:pPr>
        <w:shd w:val="clear" w:color="auto" w:fill="FFFFFF"/>
        <w:spacing w:after="0" w:line="360" w:lineRule="auto"/>
        <w:ind w:left="-3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Увеличению поступлений в бюджет городского округа способствует эффективное использование муниципальной собственности, участие муниципального имущества в  программах развития городского округа.</w:t>
      </w:r>
    </w:p>
    <w:p w:rsidR="00F2416A" w:rsidRPr="006F07ED" w:rsidRDefault="00F2416A" w:rsidP="00F2416A">
      <w:pPr>
        <w:shd w:val="clear" w:color="auto" w:fill="FFFFFF"/>
        <w:spacing w:after="0" w:line="360" w:lineRule="auto"/>
        <w:ind w:left="-3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С целью осуществления контроля и учета за использованием муниципального имущества ведется Реестр муниципального имущества.</w:t>
      </w:r>
    </w:p>
    <w:p w:rsidR="00F2416A" w:rsidRPr="006F07ED" w:rsidRDefault="00F2416A" w:rsidP="00F2416A">
      <w:pPr>
        <w:spacing w:after="0" w:line="360" w:lineRule="auto"/>
        <w:ind w:left="-3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января 201</w:t>
      </w:r>
      <w:r w:rsidR="00E65722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Реестре муниципального имущества </w:t>
      </w:r>
      <w:r w:rsidR="00E65722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учтено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722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предприятий и 7</w:t>
      </w:r>
      <w:r w:rsidR="00E65722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учреждени</w:t>
      </w:r>
      <w:r w:rsidR="00E65722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. Стоимость муниципального имущества (остаточная), внесенного в Реестр, на 1 января 201</w:t>
      </w:r>
      <w:r w:rsidR="00B60D9B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915144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3230,6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в хозяйственном ведении муниципальных предприятий находятся </w:t>
      </w:r>
      <w:r w:rsidR="00915144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нежилого фонда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площадью 3</w:t>
      </w:r>
      <w:r w:rsidR="00915144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3,3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 метров, в оперативном управлении муниципальных учреждений – 1</w:t>
      </w:r>
      <w:r w:rsidR="00915144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9 объектов нежилого фонда площадью 1</w:t>
      </w:r>
      <w:r w:rsidR="00915144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62,1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 метров. </w:t>
      </w:r>
    </w:p>
    <w:p w:rsidR="00846554" w:rsidRPr="006F07ED" w:rsidRDefault="00915144" w:rsidP="00F2416A">
      <w:pPr>
        <w:spacing w:after="0" w:line="360" w:lineRule="auto"/>
        <w:ind w:left="-3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46554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город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ского округа</w:t>
      </w:r>
      <w:r w:rsidR="00846554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поступило платежей части прибыли от использования муниципального имущества, находящегося в хозяйственном ведении муниципальных унитарных предприятий, в сумме более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333,3 тыс</w:t>
      </w:r>
      <w:r w:rsidR="00846554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. рублей.</w:t>
      </w:r>
    </w:p>
    <w:p w:rsidR="00B60D9B" w:rsidRPr="006F07ED" w:rsidRDefault="00BC56A4" w:rsidP="00DF7E13">
      <w:pPr>
        <w:pStyle w:val="af"/>
        <w:tabs>
          <w:tab w:val="num" w:pos="1068"/>
        </w:tabs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2416A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важнейших стратегических целей муниципальной политики при создании условий устойчивого экономического развития городского округа является рациональное и эффективное использование земли всех форм собственности. Площадь земельных участков, переданных в аренду, составляет </w:t>
      </w:r>
      <w:r w:rsidR="00B60D9B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4020,97 </w:t>
      </w:r>
      <w:r w:rsidR="00F2416A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га. </w:t>
      </w:r>
      <w:r w:rsidR="00B60D9B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F2416A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аключен</w:t>
      </w:r>
      <w:r w:rsidR="00B60D9B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2416A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D9B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5859 </w:t>
      </w:r>
      <w:r w:rsidR="00F2416A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B60D9B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F2416A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аренды земельных участков.</w:t>
      </w:r>
      <w:r w:rsidR="00B60D9B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Собственниками объектов недвижимости в течение отчетного года выкуплено 309 земельных участков площадью 17,23 га на сумму 26,7 млн. рублей.</w:t>
      </w:r>
    </w:p>
    <w:p w:rsidR="001E7BD5" w:rsidRPr="006F07ED" w:rsidRDefault="001E7BD5" w:rsidP="00DF7E13">
      <w:pPr>
        <w:pStyle w:val="af"/>
        <w:tabs>
          <w:tab w:val="num" w:pos="1068"/>
        </w:tabs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Организовано</w:t>
      </w:r>
      <w:r w:rsidR="001D314E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</w:t>
      </w:r>
      <w:r w:rsidR="001D314E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аукционов</w:t>
      </w:r>
      <w:r w:rsidR="001D314E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D314E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продаже земельных участков или продаже права аренды земельных участков, в результате которых заключено 7 договоров аренды  земельных участков площадью 2,353 га. Доход от реализации земельных участков составил  17 млн. рублей.</w:t>
      </w:r>
    </w:p>
    <w:p w:rsidR="00F2416A" w:rsidRPr="006F07ED" w:rsidRDefault="001D314E" w:rsidP="00DF7E13">
      <w:pPr>
        <w:pStyle w:val="af"/>
        <w:tabs>
          <w:tab w:val="num" w:pos="1068"/>
        </w:tabs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2416A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16A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16A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16A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поступило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16A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отчетном году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13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13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</w:t>
      </w:r>
      <w:r w:rsidR="00F2416A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арендной платы за пользование земельными участками </w:t>
      </w:r>
      <w:r w:rsidR="00DF7E13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средства от продажи права на заключение договоров аренды земельных участков </w:t>
      </w:r>
      <w:r w:rsidR="00F2416A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DF7E13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194,99 </w:t>
      </w:r>
      <w:r w:rsidR="00F2416A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677D8B" w:rsidRPr="006F07ED" w:rsidRDefault="00BC56A4" w:rsidP="00DF7E13">
      <w:pPr>
        <w:pStyle w:val="af"/>
        <w:tabs>
          <w:tab w:val="num" w:pos="1068"/>
        </w:tabs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Для рационального использования муниципального имущества необходим качественный его учет. </w:t>
      </w:r>
      <w:r w:rsidR="00677D8B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На конец отчетного года зарегистрировано право муниципальной собственности на 2863 объекта общей площадью 562,3 тыс. кв. метров</w:t>
      </w:r>
      <w:r w:rsidR="00BF2E0D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, из которых в 2016 году -  на 264 объекта общей площадью 41,2 тыс. кв. метров</w:t>
      </w:r>
      <w:r w:rsidR="00677D8B"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867BB" w:rsidRPr="006F07ED" w:rsidRDefault="007867BB" w:rsidP="00DF7E13">
      <w:pPr>
        <w:pStyle w:val="af"/>
        <w:tabs>
          <w:tab w:val="num" w:pos="1068"/>
        </w:tabs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Продолжалась последовательная политика в сфере приватизации муниципального имущества, направленная на оказание имущественной поддержки субъектам малого и среднего предпринимательства, исполнение плановых показателей доходов от продажи муниципального имущества, а также 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изменение целевого назначение имущества, которое не является необходимым для решения задач и функций, возложенных на органы местного самоуправления, не используется или используется неэффективно.</w:t>
      </w:r>
    </w:p>
    <w:p w:rsidR="007867BB" w:rsidRPr="006F07ED" w:rsidRDefault="007867BB" w:rsidP="00DF7E13">
      <w:pPr>
        <w:pStyle w:val="af"/>
        <w:tabs>
          <w:tab w:val="num" w:pos="1068"/>
        </w:tabs>
        <w:spacing w:after="0" w:line="360" w:lineRule="auto"/>
        <w:ind w:left="-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2016 года на продажу были выставлены 23 объекта муниципального нежилого фонда, реализовано 19 объектов.</w:t>
      </w:r>
    </w:p>
    <w:p w:rsidR="00DE3FCF" w:rsidRPr="006F07ED" w:rsidRDefault="00F2416A" w:rsidP="007867BB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>По состоянию на 1 января 201</w:t>
      </w:r>
      <w:r w:rsidR="007867BB" w:rsidRPr="006F07E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года насчитывается </w:t>
      </w:r>
      <w:r w:rsidR="007867BB" w:rsidRPr="006F07ED">
        <w:rPr>
          <w:rFonts w:ascii="Times New Roman" w:hAnsi="Times New Roman"/>
          <w:color w:val="000000" w:themeColor="text1"/>
          <w:sz w:val="28"/>
          <w:szCs w:val="28"/>
        </w:rPr>
        <w:t>486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действующих договор</w:t>
      </w:r>
      <w:r w:rsidR="007867BB" w:rsidRPr="006F07E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пользования объектами государственного и муниципального нежилого фонда площадью </w:t>
      </w:r>
      <w:r w:rsidR="007867BB" w:rsidRPr="006F07ED">
        <w:rPr>
          <w:rFonts w:ascii="Times New Roman" w:hAnsi="Times New Roman"/>
          <w:color w:val="000000" w:themeColor="text1"/>
          <w:sz w:val="28"/>
          <w:szCs w:val="28"/>
        </w:rPr>
        <w:t>73,8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тыс. кв. м</w:t>
      </w:r>
      <w:r w:rsidR="008D22B7" w:rsidRPr="006F07ED">
        <w:rPr>
          <w:rFonts w:ascii="Times New Roman" w:hAnsi="Times New Roman"/>
          <w:color w:val="000000" w:themeColor="text1"/>
          <w:sz w:val="28"/>
          <w:szCs w:val="28"/>
        </w:rPr>
        <w:t>етров, из которых 229 договоров аренды объектов нежилого фонда площадью 30,7 тыс. кв. метров, 17 договоров субаренды, 240 договоров безвозмездного пользования площадью 43,1 тыс. кв. метров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2416A" w:rsidRPr="006F07ED" w:rsidRDefault="00F2416A" w:rsidP="007867BB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/>
          <w:color w:val="000000" w:themeColor="text1"/>
          <w:sz w:val="28"/>
          <w:szCs w:val="28"/>
        </w:rPr>
        <w:t>Ежегодно решением Совета городского округа утверждается Прогнозный план приватизации муниципального имущества городского округа город Октябрьский на текущий год. За 201</w:t>
      </w:r>
      <w:r w:rsidR="00842C89" w:rsidRPr="006F07E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год в бюджет городского округа поступило доходов от продажи материальных и нематериальных активов в сумме </w:t>
      </w:r>
      <w:r w:rsidR="00842C89" w:rsidRPr="006F07ED">
        <w:rPr>
          <w:rFonts w:ascii="Times New Roman" w:hAnsi="Times New Roman"/>
          <w:color w:val="000000" w:themeColor="text1"/>
          <w:sz w:val="28"/>
          <w:szCs w:val="28"/>
        </w:rPr>
        <w:t>51,8</w:t>
      </w:r>
      <w:r w:rsidRPr="006F07ED">
        <w:rPr>
          <w:rFonts w:ascii="Times New Roman" w:hAnsi="Times New Roman"/>
          <w:color w:val="000000" w:themeColor="text1"/>
          <w:sz w:val="28"/>
          <w:szCs w:val="28"/>
        </w:rPr>
        <w:t xml:space="preserve"> млн. рублей.  </w:t>
      </w:r>
    </w:p>
    <w:p w:rsidR="007B13CC" w:rsidRPr="006F07ED" w:rsidRDefault="007B13CC" w:rsidP="007867BB">
      <w:pPr>
        <w:spacing w:after="0" w:line="360" w:lineRule="auto"/>
        <w:ind w:left="-3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2875" w:rsidRPr="006F07ED" w:rsidRDefault="00A92875" w:rsidP="006628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Муниципальные финансы</w:t>
      </w:r>
    </w:p>
    <w:p w:rsidR="00587BB9" w:rsidRPr="006F07ED" w:rsidRDefault="00587BB9" w:rsidP="000F5962">
      <w:pPr>
        <w:shd w:val="clear" w:color="auto" w:fill="FFFFFF"/>
        <w:spacing w:after="0" w:line="360" w:lineRule="auto"/>
        <w:ind w:left="-3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бюджета городского округа город Октябрьский Республики </w:t>
      </w:r>
      <w:proofErr w:type="gram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Башкортостан  по</w:t>
      </w:r>
      <w:proofErr w:type="gramEnd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налоговым и неналоговым доходам за  2016 год к уточненному прогнозу  на 2016 год составило  101,1%. </w:t>
      </w:r>
    </w:p>
    <w:p w:rsidR="00587BB9" w:rsidRPr="006F07ED" w:rsidRDefault="00587BB9" w:rsidP="000F5962">
      <w:pPr>
        <w:shd w:val="clear" w:color="auto" w:fill="FFFFFF"/>
        <w:spacing w:after="0" w:line="360" w:lineRule="auto"/>
        <w:ind w:left="-3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В городскую казну поступило налоговых, неналоговых доходов и безвозмездных поступлений от других бюджетов бюджетной системы Российской Федерации  в сумме  2375,5 млн. рублей,  что на   8,1 % больше поступлений за 2015 год.</w:t>
      </w:r>
    </w:p>
    <w:p w:rsidR="00587BB9" w:rsidRPr="006F07ED" w:rsidRDefault="00587BB9" w:rsidP="000F5962">
      <w:pPr>
        <w:shd w:val="clear" w:color="auto" w:fill="FFFFFF"/>
        <w:spacing w:after="0" w:line="360" w:lineRule="auto"/>
        <w:ind w:left="-3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собственных доходов бюджета городского округа увеличился относительно  2015 года на 1,9% и сложился в сумме 1701,5 млн. рублей.    Удельный вес собственных </w:t>
      </w:r>
      <w:proofErr w:type="gram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доходов  в</w:t>
      </w:r>
      <w:proofErr w:type="gramEnd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городского округа  в   2016 году составил 71,6% (справочно: 2015 год – 76,0%). </w:t>
      </w:r>
    </w:p>
    <w:p w:rsidR="000F5962" w:rsidRPr="006F07ED" w:rsidRDefault="000F5962" w:rsidP="000F5962">
      <w:pPr>
        <w:shd w:val="clear" w:color="auto" w:fill="FFFFFF"/>
        <w:suppressAutoHyphens/>
        <w:spacing w:after="0" w:line="360" w:lineRule="auto"/>
        <w:ind w:left="-34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7BB9" w:rsidRPr="006F07ED" w:rsidRDefault="00587BB9" w:rsidP="001D314E">
      <w:pPr>
        <w:shd w:val="clear" w:color="auto" w:fill="FFFFFF"/>
        <w:suppressAutoHyphens/>
        <w:spacing w:after="0"/>
        <w:ind w:left="-340" w:firstLine="709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 w:cs="Times New Roman"/>
          <w:b/>
          <w:color w:val="000000" w:themeColor="text1"/>
          <w:sz w:val="27"/>
          <w:szCs w:val="27"/>
        </w:rPr>
        <w:lastRenderedPageBreak/>
        <w:t>Динамика поступления налоговых и неналоговых доходов в бюджет городского округа город Октябрьский Республики Башкортостан</w:t>
      </w:r>
    </w:p>
    <w:p w:rsidR="00587BB9" w:rsidRPr="006F07ED" w:rsidRDefault="00587BB9" w:rsidP="00587BB9">
      <w:pPr>
        <w:tabs>
          <w:tab w:val="left" w:pos="540"/>
          <w:tab w:val="left" w:pos="4140"/>
        </w:tabs>
        <w:suppressAutoHyphens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1133"/>
        <w:gridCol w:w="1134"/>
        <w:gridCol w:w="1134"/>
        <w:gridCol w:w="1274"/>
        <w:gridCol w:w="1110"/>
        <w:gridCol w:w="1162"/>
      </w:tblGrid>
      <w:tr w:rsidR="006F07ED" w:rsidRPr="006F07ED" w:rsidTr="00F06E55">
        <w:trPr>
          <w:trHeight w:val="1144"/>
        </w:trPr>
        <w:tc>
          <w:tcPr>
            <w:tcW w:w="2687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2011</w:t>
            </w:r>
          </w:p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2012</w:t>
            </w:r>
          </w:p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2013</w:t>
            </w:r>
          </w:p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год</w:t>
            </w:r>
          </w:p>
        </w:tc>
        <w:tc>
          <w:tcPr>
            <w:tcW w:w="1274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2014</w:t>
            </w:r>
          </w:p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год</w:t>
            </w:r>
          </w:p>
        </w:tc>
        <w:tc>
          <w:tcPr>
            <w:tcW w:w="1110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2015</w:t>
            </w:r>
          </w:p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год</w:t>
            </w:r>
          </w:p>
        </w:tc>
        <w:tc>
          <w:tcPr>
            <w:tcW w:w="1162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2016</w:t>
            </w:r>
          </w:p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год</w:t>
            </w:r>
          </w:p>
        </w:tc>
      </w:tr>
      <w:tr w:rsidR="006F07ED" w:rsidRPr="006F07ED" w:rsidTr="007663F5">
        <w:trPr>
          <w:trHeight w:val="613"/>
        </w:trPr>
        <w:tc>
          <w:tcPr>
            <w:tcW w:w="2687" w:type="dxa"/>
            <w:shd w:val="clear" w:color="auto" w:fill="auto"/>
          </w:tcPr>
          <w:p w:rsidR="00587BB9" w:rsidRPr="006F07ED" w:rsidRDefault="00587BB9" w:rsidP="007663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Доходы бюджета, млн. рублей</w:t>
            </w:r>
          </w:p>
        </w:tc>
        <w:tc>
          <w:tcPr>
            <w:tcW w:w="1133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1698,0</w:t>
            </w:r>
          </w:p>
        </w:tc>
        <w:tc>
          <w:tcPr>
            <w:tcW w:w="1134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1686,1</w:t>
            </w:r>
          </w:p>
        </w:tc>
        <w:tc>
          <w:tcPr>
            <w:tcW w:w="1134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1711,5</w:t>
            </w:r>
          </w:p>
        </w:tc>
        <w:tc>
          <w:tcPr>
            <w:tcW w:w="1274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2075,3</w:t>
            </w:r>
          </w:p>
        </w:tc>
        <w:tc>
          <w:tcPr>
            <w:tcW w:w="1110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2197,8</w:t>
            </w:r>
          </w:p>
        </w:tc>
        <w:tc>
          <w:tcPr>
            <w:tcW w:w="1162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2375,5</w:t>
            </w:r>
          </w:p>
        </w:tc>
      </w:tr>
      <w:tr w:rsidR="006F07ED" w:rsidRPr="006F07ED" w:rsidTr="00F06E55">
        <w:tc>
          <w:tcPr>
            <w:tcW w:w="2687" w:type="dxa"/>
            <w:shd w:val="clear" w:color="auto" w:fill="auto"/>
          </w:tcPr>
          <w:p w:rsidR="00587BB9" w:rsidRPr="006F07ED" w:rsidRDefault="00587BB9" w:rsidP="007663F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% роста</w:t>
            </w:r>
          </w:p>
        </w:tc>
        <w:tc>
          <w:tcPr>
            <w:tcW w:w="1133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132,2</w:t>
            </w:r>
          </w:p>
        </w:tc>
        <w:tc>
          <w:tcPr>
            <w:tcW w:w="1134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99,3</w:t>
            </w:r>
          </w:p>
        </w:tc>
        <w:tc>
          <w:tcPr>
            <w:tcW w:w="1134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101,5</w:t>
            </w:r>
          </w:p>
        </w:tc>
        <w:tc>
          <w:tcPr>
            <w:tcW w:w="1274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121,3</w:t>
            </w:r>
          </w:p>
        </w:tc>
        <w:tc>
          <w:tcPr>
            <w:tcW w:w="1110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105,9</w:t>
            </w:r>
          </w:p>
        </w:tc>
        <w:tc>
          <w:tcPr>
            <w:tcW w:w="1162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108,1</w:t>
            </w:r>
          </w:p>
        </w:tc>
      </w:tr>
      <w:tr w:rsidR="006F07ED" w:rsidRPr="006F07ED" w:rsidTr="00F06E55">
        <w:tc>
          <w:tcPr>
            <w:tcW w:w="2687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Собственные доходы, млн. рублей</w:t>
            </w:r>
          </w:p>
        </w:tc>
        <w:tc>
          <w:tcPr>
            <w:tcW w:w="1133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1381,6</w:t>
            </w:r>
          </w:p>
        </w:tc>
        <w:tc>
          <w:tcPr>
            <w:tcW w:w="1134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1334,9</w:t>
            </w:r>
          </w:p>
        </w:tc>
        <w:tc>
          <w:tcPr>
            <w:tcW w:w="1134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1332,1</w:t>
            </w:r>
          </w:p>
        </w:tc>
        <w:tc>
          <w:tcPr>
            <w:tcW w:w="1274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1606,7</w:t>
            </w:r>
          </w:p>
        </w:tc>
        <w:tc>
          <w:tcPr>
            <w:tcW w:w="1110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1669,5</w:t>
            </w:r>
          </w:p>
        </w:tc>
        <w:tc>
          <w:tcPr>
            <w:tcW w:w="1162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1701,5</w:t>
            </w:r>
          </w:p>
        </w:tc>
      </w:tr>
      <w:tr w:rsidR="006F07ED" w:rsidRPr="006F07ED" w:rsidTr="00F06E55">
        <w:tc>
          <w:tcPr>
            <w:tcW w:w="2687" w:type="dxa"/>
            <w:shd w:val="clear" w:color="auto" w:fill="auto"/>
          </w:tcPr>
          <w:p w:rsidR="00587BB9" w:rsidRPr="006F07ED" w:rsidRDefault="00587BB9" w:rsidP="007663F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% роста</w:t>
            </w:r>
          </w:p>
        </w:tc>
        <w:tc>
          <w:tcPr>
            <w:tcW w:w="1133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134,3</w:t>
            </w:r>
          </w:p>
        </w:tc>
        <w:tc>
          <w:tcPr>
            <w:tcW w:w="1134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96,6</w:t>
            </w:r>
          </w:p>
        </w:tc>
        <w:tc>
          <w:tcPr>
            <w:tcW w:w="1134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99,8</w:t>
            </w:r>
          </w:p>
        </w:tc>
        <w:tc>
          <w:tcPr>
            <w:tcW w:w="1274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120,6</w:t>
            </w:r>
          </w:p>
        </w:tc>
        <w:tc>
          <w:tcPr>
            <w:tcW w:w="1110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103,9</w:t>
            </w:r>
          </w:p>
        </w:tc>
        <w:tc>
          <w:tcPr>
            <w:tcW w:w="1162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101,9</w:t>
            </w:r>
          </w:p>
        </w:tc>
      </w:tr>
      <w:tr w:rsidR="006F07ED" w:rsidRPr="006F07ED" w:rsidTr="00F06E55">
        <w:tc>
          <w:tcPr>
            <w:tcW w:w="2687" w:type="dxa"/>
            <w:shd w:val="clear" w:color="auto" w:fill="auto"/>
          </w:tcPr>
          <w:p w:rsidR="00587BB9" w:rsidRPr="006F07ED" w:rsidRDefault="00587BB9" w:rsidP="007663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Уд. вес собственных доходов в общем объеме доходов</w:t>
            </w:r>
          </w:p>
        </w:tc>
        <w:tc>
          <w:tcPr>
            <w:tcW w:w="1133" w:type="dxa"/>
            <w:shd w:val="clear" w:color="auto" w:fill="auto"/>
          </w:tcPr>
          <w:p w:rsidR="00587BB9" w:rsidRPr="006F07ED" w:rsidRDefault="00587BB9" w:rsidP="007663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81,4</w:t>
            </w:r>
          </w:p>
        </w:tc>
        <w:tc>
          <w:tcPr>
            <w:tcW w:w="1134" w:type="dxa"/>
            <w:shd w:val="clear" w:color="auto" w:fill="auto"/>
          </w:tcPr>
          <w:p w:rsidR="00587BB9" w:rsidRPr="006F07ED" w:rsidRDefault="00587BB9" w:rsidP="007663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79,2</w:t>
            </w:r>
          </w:p>
        </w:tc>
        <w:tc>
          <w:tcPr>
            <w:tcW w:w="1134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77,8</w:t>
            </w:r>
          </w:p>
        </w:tc>
        <w:tc>
          <w:tcPr>
            <w:tcW w:w="1274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77,4</w:t>
            </w:r>
          </w:p>
        </w:tc>
        <w:tc>
          <w:tcPr>
            <w:tcW w:w="1110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76,0</w:t>
            </w:r>
          </w:p>
        </w:tc>
        <w:tc>
          <w:tcPr>
            <w:tcW w:w="1162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71,6</w:t>
            </w:r>
          </w:p>
        </w:tc>
      </w:tr>
      <w:tr w:rsidR="006F07ED" w:rsidRPr="006F07ED" w:rsidTr="00F06E55">
        <w:tc>
          <w:tcPr>
            <w:tcW w:w="2687" w:type="dxa"/>
            <w:shd w:val="clear" w:color="auto" w:fill="auto"/>
          </w:tcPr>
          <w:p w:rsidR="00587BB9" w:rsidRPr="006F07ED" w:rsidRDefault="00587BB9" w:rsidP="007663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Расходы бюджета, млн. рублей</w:t>
            </w:r>
          </w:p>
        </w:tc>
        <w:tc>
          <w:tcPr>
            <w:tcW w:w="1133" w:type="dxa"/>
            <w:shd w:val="clear" w:color="auto" w:fill="auto"/>
          </w:tcPr>
          <w:p w:rsidR="00587BB9" w:rsidRPr="006F07ED" w:rsidRDefault="00587BB9" w:rsidP="007663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1690,4</w:t>
            </w:r>
          </w:p>
        </w:tc>
        <w:tc>
          <w:tcPr>
            <w:tcW w:w="1134" w:type="dxa"/>
            <w:shd w:val="clear" w:color="auto" w:fill="auto"/>
          </w:tcPr>
          <w:p w:rsidR="00587BB9" w:rsidRPr="006F07ED" w:rsidRDefault="00587BB9" w:rsidP="007663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1731,7</w:t>
            </w:r>
          </w:p>
        </w:tc>
        <w:tc>
          <w:tcPr>
            <w:tcW w:w="1134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1673,1</w:t>
            </w:r>
          </w:p>
        </w:tc>
        <w:tc>
          <w:tcPr>
            <w:tcW w:w="1274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1968,5</w:t>
            </w:r>
          </w:p>
        </w:tc>
        <w:tc>
          <w:tcPr>
            <w:tcW w:w="1110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2177,4</w:t>
            </w:r>
          </w:p>
        </w:tc>
        <w:tc>
          <w:tcPr>
            <w:tcW w:w="1162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2398,6</w:t>
            </w:r>
          </w:p>
        </w:tc>
      </w:tr>
      <w:tr w:rsidR="00587BB9" w:rsidRPr="006F07ED" w:rsidTr="00F06E55">
        <w:tc>
          <w:tcPr>
            <w:tcW w:w="2687" w:type="dxa"/>
            <w:shd w:val="clear" w:color="auto" w:fill="auto"/>
          </w:tcPr>
          <w:p w:rsidR="00587BB9" w:rsidRPr="006F07ED" w:rsidRDefault="00587BB9" w:rsidP="007663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% роста</w:t>
            </w:r>
          </w:p>
          <w:p w:rsidR="00587BB9" w:rsidRPr="006F07ED" w:rsidRDefault="00587BB9" w:rsidP="007663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</w:tcPr>
          <w:p w:rsidR="00587BB9" w:rsidRPr="006F07ED" w:rsidRDefault="00587BB9" w:rsidP="007663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134,9</w:t>
            </w:r>
          </w:p>
        </w:tc>
        <w:tc>
          <w:tcPr>
            <w:tcW w:w="1134" w:type="dxa"/>
            <w:shd w:val="clear" w:color="auto" w:fill="auto"/>
          </w:tcPr>
          <w:p w:rsidR="00587BB9" w:rsidRPr="006F07ED" w:rsidRDefault="00587BB9" w:rsidP="007663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102,4</w:t>
            </w:r>
          </w:p>
        </w:tc>
        <w:tc>
          <w:tcPr>
            <w:tcW w:w="1134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96,6</w:t>
            </w:r>
          </w:p>
        </w:tc>
        <w:tc>
          <w:tcPr>
            <w:tcW w:w="1274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117,7</w:t>
            </w:r>
          </w:p>
        </w:tc>
        <w:tc>
          <w:tcPr>
            <w:tcW w:w="1110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110,6</w:t>
            </w:r>
          </w:p>
        </w:tc>
        <w:tc>
          <w:tcPr>
            <w:tcW w:w="1162" w:type="dxa"/>
            <w:shd w:val="clear" w:color="auto" w:fill="auto"/>
          </w:tcPr>
          <w:p w:rsidR="00587BB9" w:rsidRPr="006F07ED" w:rsidRDefault="00587BB9" w:rsidP="00F06E5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F07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110,2</w:t>
            </w:r>
          </w:p>
        </w:tc>
      </w:tr>
    </w:tbl>
    <w:p w:rsidR="00587BB9" w:rsidRPr="006F07ED" w:rsidRDefault="00587BB9" w:rsidP="00587BB9">
      <w:pPr>
        <w:shd w:val="clear" w:color="auto" w:fill="FFFFFF"/>
        <w:suppressAutoHyphens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962" w:rsidRPr="006F07ED" w:rsidRDefault="000F5962" w:rsidP="000F5962">
      <w:pPr>
        <w:shd w:val="clear" w:color="auto" w:fill="FFFFFF"/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доходными источниками бюджета городского округа являлись:</w:t>
      </w:r>
    </w:p>
    <w:p w:rsidR="000F5962" w:rsidRPr="006F07ED" w:rsidRDefault="000F5962" w:rsidP="000F5962">
      <w:pPr>
        <w:shd w:val="clear" w:color="auto" w:fill="FFFFFF"/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- налог на доходы физических лиц – 558,6  млн. рублей (23,5% от общего объема доходов бюджета городского округа);</w:t>
      </w:r>
    </w:p>
    <w:p w:rsidR="000F5962" w:rsidRPr="006F07ED" w:rsidRDefault="000F5962" w:rsidP="000F5962">
      <w:pPr>
        <w:shd w:val="clear" w:color="auto" w:fill="FFFFFF"/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- доходы от использования имущества, находящегося в государственной и муниципальной  собственности – 238,3 млн. рублей (10,0%);</w:t>
      </w:r>
    </w:p>
    <w:p w:rsidR="000F5962" w:rsidRPr="006F07ED" w:rsidRDefault="000F5962" w:rsidP="000F5962">
      <w:pPr>
        <w:shd w:val="clear" w:color="auto" w:fill="FFFFFF"/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- доходы от продажи материальных и нематериальных активов – 51,8 млн. рублей (2,2%);</w:t>
      </w:r>
    </w:p>
    <w:p w:rsidR="000F5962" w:rsidRPr="006F07ED" w:rsidRDefault="000F5962" w:rsidP="000F5962">
      <w:pPr>
        <w:shd w:val="clear" w:color="auto" w:fill="FFFFFF"/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- единый налог на вмененный доход – 81,2  млн. рублей (3,4%).</w:t>
      </w:r>
    </w:p>
    <w:p w:rsidR="000F5962" w:rsidRPr="006F07ED" w:rsidRDefault="000F5962" w:rsidP="000F5962">
      <w:pPr>
        <w:spacing w:after="0" w:line="360" w:lineRule="auto"/>
        <w:ind w:left="-3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Безвозмездные перечисления в  сумме  1272,2 млн. рублей, поступившие за январь - декабрь 2016 года в    бюджет городского округа, увеличились по сравнению с уровнем прошлого года на 19,6% и составили 53,6% от общего объема доходов бюджета городского округа. </w:t>
      </w:r>
    </w:p>
    <w:p w:rsidR="000F5962" w:rsidRPr="006F07ED" w:rsidRDefault="000F5962" w:rsidP="00A777AC">
      <w:pPr>
        <w:shd w:val="clear" w:color="auto" w:fill="FFFFFF"/>
        <w:spacing w:after="0" w:line="360" w:lineRule="auto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Расходы</w:t>
      </w: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2016 году  исполнены в объеме 2398,6 млн. рублей (110,2% к январю-декабрю 2015 года).</w:t>
      </w:r>
    </w:p>
    <w:p w:rsidR="00587BB9" w:rsidRPr="006F07ED" w:rsidRDefault="00587BB9" w:rsidP="00A777AC">
      <w:pPr>
        <w:spacing w:after="0" w:line="360" w:lineRule="auto"/>
        <w:ind w:left="-3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города продолжает сохранять свою социальную  направленность. Наиболее значимые объемы бюджетных </w:t>
      </w:r>
      <w:proofErr w:type="gramStart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>ассигнований  были</w:t>
      </w:r>
      <w:proofErr w:type="gramEnd"/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направлены в соответствии с утвержденными бюджетными назначениями  на образование 1222,5 млн. рублей (51,0% совокупных расходов бюджета), жилищно-коммунальное хозяйство 564,2 млн. рублей  (23,5%), физическую культуру и спорт 30,3 млн. рублей (1,26%).</w:t>
      </w:r>
    </w:p>
    <w:p w:rsidR="007663F5" w:rsidRPr="006F07ED" w:rsidRDefault="007663F5" w:rsidP="00A777AC">
      <w:pPr>
        <w:spacing w:after="0" w:line="360" w:lineRule="auto"/>
        <w:ind w:left="-3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3F5" w:rsidRPr="006F07ED" w:rsidRDefault="007663F5" w:rsidP="00052CF6">
      <w:pPr>
        <w:spacing w:after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>Доходы и расходы</w:t>
      </w:r>
      <w:r w:rsidR="00A30210" w:rsidRPr="006F07E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бюджета</w:t>
      </w:r>
      <w:r w:rsidRPr="006F07E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городского округа</w:t>
      </w:r>
    </w:p>
    <w:p w:rsidR="007663F5" w:rsidRPr="006F07ED" w:rsidRDefault="007663F5" w:rsidP="00052CF6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F07ED">
        <w:rPr>
          <w:rFonts w:ascii="Times New Roman" w:hAnsi="Times New Roman"/>
          <w:color w:val="000000" w:themeColor="text1"/>
          <w:sz w:val="26"/>
          <w:szCs w:val="26"/>
        </w:rPr>
        <w:t>(млн. рублей)</w:t>
      </w:r>
    </w:p>
    <w:p w:rsidR="007663F5" w:rsidRPr="006F07ED" w:rsidRDefault="007663F5" w:rsidP="007663F5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07ED">
        <w:rPr>
          <w:b/>
          <w:noProof/>
          <w:color w:val="000000" w:themeColor="text1"/>
          <w:sz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76200</wp:posOffset>
            </wp:positionV>
            <wp:extent cx="5514340" cy="3035935"/>
            <wp:effectExtent l="0" t="0" r="0" b="0"/>
            <wp:wrapSquare wrapText="right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7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87BB9" w:rsidRPr="006F07ED" w:rsidRDefault="00587BB9" w:rsidP="00A777AC">
      <w:pPr>
        <w:shd w:val="clear" w:color="auto" w:fill="FFFFFF"/>
        <w:suppressAutoHyphens/>
        <w:spacing w:after="0" w:line="360" w:lineRule="auto"/>
        <w:ind w:left="-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Увеличению поступлений в бюджет городского округа способствует эффективное использование муниципальной собственности, участие  в федеральных, республиканских программах. </w:t>
      </w:r>
    </w:p>
    <w:p w:rsidR="00CD6F64" w:rsidRPr="006F07ED" w:rsidRDefault="0072524B" w:rsidP="00CD6F64">
      <w:pPr>
        <w:suppressAutoHyphens/>
        <w:spacing w:after="0"/>
        <w:ind w:lef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ED">
        <w:rPr>
          <w:color w:val="000000" w:themeColor="text1"/>
          <w:sz w:val="28"/>
          <w:szCs w:val="28"/>
        </w:rPr>
        <w:t xml:space="preserve">      </w:t>
      </w:r>
    </w:p>
    <w:sectPr w:rsidR="00CD6F64" w:rsidRPr="006F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B0B1A"/>
    <w:multiLevelType w:val="multilevel"/>
    <w:tmpl w:val="1B50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A5"/>
    <w:rsid w:val="0001617D"/>
    <w:rsid w:val="00016C16"/>
    <w:rsid w:val="00023757"/>
    <w:rsid w:val="000255D7"/>
    <w:rsid w:val="00030DAA"/>
    <w:rsid w:val="00037C55"/>
    <w:rsid w:val="00040211"/>
    <w:rsid w:val="000431BE"/>
    <w:rsid w:val="000459D9"/>
    <w:rsid w:val="00045DB3"/>
    <w:rsid w:val="00052CF6"/>
    <w:rsid w:val="000613AE"/>
    <w:rsid w:val="00061B62"/>
    <w:rsid w:val="0007192F"/>
    <w:rsid w:val="00072761"/>
    <w:rsid w:val="000747EA"/>
    <w:rsid w:val="000814C1"/>
    <w:rsid w:val="00091236"/>
    <w:rsid w:val="00095D5B"/>
    <w:rsid w:val="00096DA9"/>
    <w:rsid w:val="000A135A"/>
    <w:rsid w:val="000A3951"/>
    <w:rsid w:val="000A7327"/>
    <w:rsid w:val="000B2A09"/>
    <w:rsid w:val="000B3D29"/>
    <w:rsid w:val="000B6089"/>
    <w:rsid w:val="000B7C49"/>
    <w:rsid w:val="000C270E"/>
    <w:rsid w:val="000C2C08"/>
    <w:rsid w:val="000C6764"/>
    <w:rsid w:val="000D336F"/>
    <w:rsid w:val="000D5D01"/>
    <w:rsid w:val="000E045A"/>
    <w:rsid w:val="000E2ECD"/>
    <w:rsid w:val="000E2F7F"/>
    <w:rsid w:val="000E581F"/>
    <w:rsid w:val="000F1946"/>
    <w:rsid w:val="000F5962"/>
    <w:rsid w:val="001041F5"/>
    <w:rsid w:val="00110ACD"/>
    <w:rsid w:val="00111C9F"/>
    <w:rsid w:val="001230BF"/>
    <w:rsid w:val="00123E64"/>
    <w:rsid w:val="00124560"/>
    <w:rsid w:val="00126F4A"/>
    <w:rsid w:val="0012763B"/>
    <w:rsid w:val="001305D4"/>
    <w:rsid w:val="0013590F"/>
    <w:rsid w:val="00143137"/>
    <w:rsid w:val="00144FEE"/>
    <w:rsid w:val="0014646F"/>
    <w:rsid w:val="0015257E"/>
    <w:rsid w:val="0016043A"/>
    <w:rsid w:val="00164FD0"/>
    <w:rsid w:val="00166B6E"/>
    <w:rsid w:val="0017152C"/>
    <w:rsid w:val="0017181B"/>
    <w:rsid w:val="00173E60"/>
    <w:rsid w:val="00176281"/>
    <w:rsid w:val="00185F22"/>
    <w:rsid w:val="00196DB1"/>
    <w:rsid w:val="001A0267"/>
    <w:rsid w:val="001A2D5C"/>
    <w:rsid w:val="001A5C16"/>
    <w:rsid w:val="001B6D38"/>
    <w:rsid w:val="001C132A"/>
    <w:rsid w:val="001C1D8B"/>
    <w:rsid w:val="001C56D2"/>
    <w:rsid w:val="001D13F1"/>
    <w:rsid w:val="001D314E"/>
    <w:rsid w:val="001D4C27"/>
    <w:rsid w:val="001E0B71"/>
    <w:rsid w:val="001E1F9A"/>
    <w:rsid w:val="001E7BD5"/>
    <w:rsid w:val="001E7F55"/>
    <w:rsid w:val="001F26E7"/>
    <w:rsid w:val="0020170A"/>
    <w:rsid w:val="002071C0"/>
    <w:rsid w:val="00207A08"/>
    <w:rsid w:val="00210254"/>
    <w:rsid w:val="00224D7D"/>
    <w:rsid w:val="002368CF"/>
    <w:rsid w:val="00240811"/>
    <w:rsid w:val="00242AB1"/>
    <w:rsid w:val="00247739"/>
    <w:rsid w:val="00247EA6"/>
    <w:rsid w:val="0026665A"/>
    <w:rsid w:val="0026708C"/>
    <w:rsid w:val="00282901"/>
    <w:rsid w:val="00283EA7"/>
    <w:rsid w:val="002B1B62"/>
    <w:rsid w:val="002B3F32"/>
    <w:rsid w:val="002C3029"/>
    <w:rsid w:val="002C4835"/>
    <w:rsid w:val="002C5F0D"/>
    <w:rsid w:val="002D7D49"/>
    <w:rsid w:val="002E2C1F"/>
    <w:rsid w:val="002E4676"/>
    <w:rsid w:val="002F2899"/>
    <w:rsid w:val="002F39F3"/>
    <w:rsid w:val="002F3BDD"/>
    <w:rsid w:val="002F75C7"/>
    <w:rsid w:val="0031163C"/>
    <w:rsid w:val="00311F82"/>
    <w:rsid w:val="0031401D"/>
    <w:rsid w:val="0032394B"/>
    <w:rsid w:val="0033497B"/>
    <w:rsid w:val="00335464"/>
    <w:rsid w:val="00335AD9"/>
    <w:rsid w:val="00337E07"/>
    <w:rsid w:val="00346891"/>
    <w:rsid w:val="00347908"/>
    <w:rsid w:val="00347956"/>
    <w:rsid w:val="00347AED"/>
    <w:rsid w:val="003614E1"/>
    <w:rsid w:val="00361FEF"/>
    <w:rsid w:val="0036295E"/>
    <w:rsid w:val="00364C42"/>
    <w:rsid w:val="003668AC"/>
    <w:rsid w:val="003706E4"/>
    <w:rsid w:val="00371D91"/>
    <w:rsid w:val="00381553"/>
    <w:rsid w:val="00383388"/>
    <w:rsid w:val="00384E7A"/>
    <w:rsid w:val="00393EEA"/>
    <w:rsid w:val="00396E27"/>
    <w:rsid w:val="00396F68"/>
    <w:rsid w:val="00397BC8"/>
    <w:rsid w:val="003A079E"/>
    <w:rsid w:val="003B2EB8"/>
    <w:rsid w:val="003C6970"/>
    <w:rsid w:val="003E5D0F"/>
    <w:rsid w:val="003F1F6F"/>
    <w:rsid w:val="00402E0D"/>
    <w:rsid w:val="00411B2B"/>
    <w:rsid w:val="00413872"/>
    <w:rsid w:val="0041729D"/>
    <w:rsid w:val="004174E1"/>
    <w:rsid w:val="004348F3"/>
    <w:rsid w:val="00446905"/>
    <w:rsid w:val="00447394"/>
    <w:rsid w:val="00452A6D"/>
    <w:rsid w:val="00461524"/>
    <w:rsid w:val="00462CF9"/>
    <w:rsid w:val="00464E1D"/>
    <w:rsid w:val="004765B8"/>
    <w:rsid w:val="00480606"/>
    <w:rsid w:val="00491AA4"/>
    <w:rsid w:val="00492BE5"/>
    <w:rsid w:val="00493CF1"/>
    <w:rsid w:val="00496FCB"/>
    <w:rsid w:val="004A132C"/>
    <w:rsid w:val="004A1D1F"/>
    <w:rsid w:val="004A6E8A"/>
    <w:rsid w:val="004B129E"/>
    <w:rsid w:val="004B1E84"/>
    <w:rsid w:val="004B24ED"/>
    <w:rsid w:val="004B729C"/>
    <w:rsid w:val="004C28EB"/>
    <w:rsid w:val="004C3B46"/>
    <w:rsid w:val="004C40A3"/>
    <w:rsid w:val="004C5632"/>
    <w:rsid w:val="004D1709"/>
    <w:rsid w:val="004D25E9"/>
    <w:rsid w:val="004D76AA"/>
    <w:rsid w:val="004E1FF3"/>
    <w:rsid w:val="0050498F"/>
    <w:rsid w:val="00505F3B"/>
    <w:rsid w:val="00506857"/>
    <w:rsid w:val="0051075C"/>
    <w:rsid w:val="005118B2"/>
    <w:rsid w:val="00511F22"/>
    <w:rsid w:val="0051544E"/>
    <w:rsid w:val="00517650"/>
    <w:rsid w:val="005221C8"/>
    <w:rsid w:val="00523AB6"/>
    <w:rsid w:val="00524F8D"/>
    <w:rsid w:val="005252B4"/>
    <w:rsid w:val="0052757C"/>
    <w:rsid w:val="00527FE1"/>
    <w:rsid w:val="00531D58"/>
    <w:rsid w:val="00534A76"/>
    <w:rsid w:val="005373B7"/>
    <w:rsid w:val="00544DCC"/>
    <w:rsid w:val="005640F7"/>
    <w:rsid w:val="00564968"/>
    <w:rsid w:val="00566FD4"/>
    <w:rsid w:val="00581842"/>
    <w:rsid w:val="00587BB9"/>
    <w:rsid w:val="00595A6F"/>
    <w:rsid w:val="00597A2C"/>
    <w:rsid w:val="005A33F8"/>
    <w:rsid w:val="005C56D8"/>
    <w:rsid w:val="005C6E92"/>
    <w:rsid w:val="005E06A0"/>
    <w:rsid w:val="005E0CA5"/>
    <w:rsid w:val="005E0D13"/>
    <w:rsid w:val="005F1472"/>
    <w:rsid w:val="005F1D05"/>
    <w:rsid w:val="005F1D85"/>
    <w:rsid w:val="005F39C4"/>
    <w:rsid w:val="00612FE8"/>
    <w:rsid w:val="00613783"/>
    <w:rsid w:val="00616D49"/>
    <w:rsid w:val="006308B1"/>
    <w:rsid w:val="006322E8"/>
    <w:rsid w:val="006333D0"/>
    <w:rsid w:val="00656741"/>
    <w:rsid w:val="00662833"/>
    <w:rsid w:val="00664444"/>
    <w:rsid w:val="006672DE"/>
    <w:rsid w:val="00671224"/>
    <w:rsid w:val="0067159A"/>
    <w:rsid w:val="006766F9"/>
    <w:rsid w:val="006775CB"/>
    <w:rsid w:val="00677D8B"/>
    <w:rsid w:val="006800A2"/>
    <w:rsid w:val="00683A65"/>
    <w:rsid w:val="006854B2"/>
    <w:rsid w:val="00686958"/>
    <w:rsid w:val="0069137A"/>
    <w:rsid w:val="006A1A69"/>
    <w:rsid w:val="006A77C5"/>
    <w:rsid w:val="006B4ABF"/>
    <w:rsid w:val="006D56EA"/>
    <w:rsid w:val="006E17DB"/>
    <w:rsid w:val="006F07ED"/>
    <w:rsid w:val="006F17AE"/>
    <w:rsid w:val="006F1B1E"/>
    <w:rsid w:val="006F4F72"/>
    <w:rsid w:val="006F7490"/>
    <w:rsid w:val="00703CC1"/>
    <w:rsid w:val="0072524B"/>
    <w:rsid w:val="0072735A"/>
    <w:rsid w:val="00731868"/>
    <w:rsid w:val="0073212E"/>
    <w:rsid w:val="00732A7F"/>
    <w:rsid w:val="00732FEB"/>
    <w:rsid w:val="00736B23"/>
    <w:rsid w:val="0075585F"/>
    <w:rsid w:val="007663F5"/>
    <w:rsid w:val="007735E7"/>
    <w:rsid w:val="00773CD6"/>
    <w:rsid w:val="007806F4"/>
    <w:rsid w:val="0078087B"/>
    <w:rsid w:val="007867BB"/>
    <w:rsid w:val="007873D2"/>
    <w:rsid w:val="00795062"/>
    <w:rsid w:val="00796ADE"/>
    <w:rsid w:val="007A73D3"/>
    <w:rsid w:val="007A7B07"/>
    <w:rsid w:val="007A7D1D"/>
    <w:rsid w:val="007B13CC"/>
    <w:rsid w:val="007B4A57"/>
    <w:rsid w:val="007E19E6"/>
    <w:rsid w:val="007E4474"/>
    <w:rsid w:val="007F0D2C"/>
    <w:rsid w:val="007F0DFF"/>
    <w:rsid w:val="007F401B"/>
    <w:rsid w:val="008014FC"/>
    <w:rsid w:val="00803F39"/>
    <w:rsid w:val="00807232"/>
    <w:rsid w:val="0081285A"/>
    <w:rsid w:val="008159A9"/>
    <w:rsid w:val="0082259A"/>
    <w:rsid w:val="00823EC7"/>
    <w:rsid w:val="008261A8"/>
    <w:rsid w:val="00826EB5"/>
    <w:rsid w:val="008348E9"/>
    <w:rsid w:val="008413AD"/>
    <w:rsid w:val="00842C89"/>
    <w:rsid w:val="00846554"/>
    <w:rsid w:val="00856449"/>
    <w:rsid w:val="00861324"/>
    <w:rsid w:val="0086651B"/>
    <w:rsid w:val="008721DC"/>
    <w:rsid w:val="00872A92"/>
    <w:rsid w:val="00875FC5"/>
    <w:rsid w:val="008806A6"/>
    <w:rsid w:val="008844D7"/>
    <w:rsid w:val="00891C45"/>
    <w:rsid w:val="008A0057"/>
    <w:rsid w:val="008A1D12"/>
    <w:rsid w:val="008A271D"/>
    <w:rsid w:val="008A35EC"/>
    <w:rsid w:val="008B296C"/>
    <w:rsid w:val="008B4C55"/>
    <w:rsid w:val="008C2D5E"/>
    <w:rsid w:val="008D22B7"/>
    <w:rsid w:val="008D5AD4"/>
    <w:rsid w:val="008D6C4D"/>
    <w:rsid w:val="008E2721"/>
    <w:rsid w:val="008E6692"/>
    <w:rsid w:val="008F231F"/>
    <w:rsid w:val="008F3202"/>
    <w:rsid w:val="008F57C0"/>
    <w:rsid w:val="008F65D0"/>
    <w:rsid w:val="009030F7"/>
    <w:rsid w:val="00905436"/>
    <w:rsid w:val="0091163A"/>
    <w:rsid w:val="00915144"/>
    <w:rsid w:val="0091590D"/>
    <w:rsid w:val="00916115"/>
    <w:rsid w:val="009246CC"/>
    <w:rsid w:val="0092526C"/>
    <w:rsid w:val="00930302"/>
    <w:rsid w:val="00931B4F"/>
    <w:rsid w:val="00932601"/>
    <w:rsid w:val="00947A5D"/>
    <w:rsid w:val="00953432"/>
    <w:rsid w:val="00957D88"/>
    <w:rsid w:val="00976AAA"/>
    <w:rsid w:val="00980066"/>
    <w:rsid w:val="00982A82"/>
    <w:rsid w:val="00985DA0"/>
    <w:rsid w:val="00991A03"/>
    <w:rsid w:val="00993958"/>
    <w:rsid w:val="00995E01"/>
    <w:rsid w:val="009A0EA6"/>
    <w:rsid w:val="009A7537"/>
    <w:rsid w:val="009B45D4"/>
    <w:rsid w:val="009C0570"/>
    <w:rsid w:val="009C0908"/>
    <w:rsid w:val="009C1DE4"/>
    <w:rsid w:val="009C4AB4"/>
    <w:rsid w:val="009C50C1"/>
    <w:rsid w:val="009E33BD"/>
    <w:rsid w:val="009E340A"/>
    <w:rsid w:val="009E76DF"/>
    <w:rsid w:val="009F5CB3"/>
    <w:rsid w:val="00A0110C"/>
    <w:rsid w:val="00A0179D"/>
    <w:rsid w:val="00A02EFB"/>
    <w:rsid w:val="00A0462A"/>
    <w:rsid w:val="00A05A20"/>
    <w:rsid w:val="00A05F7B"/>
    <w:rsid w:val="00A14342"/>
    <w:rsid w:val="00A15099"/>
    <w:rsid w:val="00A25CE4"/>
    <w:rsid w:val="00A30210"/>
    <w:rsid w:val="00A36535"/>
    <w:rsid w:val="00A41281"/>
    <w:rsid w:val="00A424E7"/>
    <w:rsid w:val="00A434B8"/>
    <w:rsid w:val="00A520E0"/>
    <w:rsid w:val="00A56856"/>
    <w:rsid w:val="00A63779"/>
    <w:rsid w:val="00A6591B"/>
    <w:rsid w:val="00A729D4"/>
    <w:rsid w:val="00A76FD6"/>
    <w:rsid w:val="00A777AC"/>
    <w:rsid w:val="00A86973"/>
    <w:rsid w:val="00A8735A"/>
    <w:rsid w:val="00A87827"/>
    <w:rsid w:val="00A92875"/>
    <w:rsid w:val="00A96328"/>
    <w:rsid w:val="00A96EB8"/>
    <w:rsid w:val="00A96F29"/>
    <w:rsid w:val="00A978E6"/>
    <w:rsid w:val="00AA4F32"/>
    <w:rsid w:val="00AB3B45"/>
    <w:rsid w:val="00AC1634"/>
    <w:rsid w:val="00AC430D"/>
    <w:rsid w:val="00AC6C3E"/>
    <w:rsid w:val="00AD2957"/>
    <w:rsid w:val="00AE14A7"/>
    <w:rsid w:val="00AE4728"/>
    <w:rsid w:val="00AE4D7D"/>
    <w:rsid w:val="00AF25D0"/>
    <w:rsid w:val="00AF2C99"/>
    <w:rsid w:val="00AF681E"/>
    <w:rsid w:val="00B02187"/>
    <w:rsid w:val="00B05FEB"/>
    <w:rsid w:val="00B254C7"/>
    <w:rsid w:val="00B4140E"/>
    <w:rsid w:val="00B4253A"/>
    <w:rsid w:val="00B460EE"/>
    <w:rsid w:val="00B46612"/>
    <w:rsid w:val="00B60960"/>
    <w:rsid w:val="00B60D9B"/>
    <w:rsid w:val="00B61912"/>
    <w:rsid w:val="00B61F77"/>
    <w:rsid w:val="00B628BD"/>
    <w:rsid w:val="00B66633"/>
    <w:rsid w:val="00B674F9"/>
    <w:rsid w:val="00B85820"/>
    <w:rsid w:val="00B9178E"/>
    <w:rsid w:val="00B95FC5"/>
    <w:rsid w:val="00BA2AE9"/>
    <w:rsid w:val="00BA65CA"/>
    <w:rsid w:val="00BB4356"/>
    <w:rsid w:val="00BC266F"/>
    <w:rsid w:val="00BC2892"/>
    <w:rsid w:val="00BC3D70"/>
    <w:rsid w:val="00BC56A4"/>
    <w:rsid w:val="00BD7552"/>
    <w:rsid w:val="00BD7C20"/>
    <w:rsid w:val="00BE3B8F"/>
    <w:rsid w:val="00BF04DE"/>
    <w:rsid w:val="00BF2E0D"/>
    <w:rsid w:val="00C041DB"/>
    <w:rsid w:val="00C16BE9"/>
    <w:rsid w:val="00C2315F"/>
    <w:rsid w:val="00C305C1"/>
    <w:rsid w:val="00C50CB7"/>
    <w:rsid w:val="00C56E1F"/>
    <w:rsid w:val="00C578DD"/>
    <w:rsid w:val="00C61675"/>
    <w:rsid w:val="00C7471D"/>
    <w:rsid w:val="00C75620"/>
    <w:rsid w:val="00C84E4D"/>
    <w:rsid w:val="00CA3642"/>
    <w:rsid w:val="00CA39CB"/>
    <w:rsid w:val="00CA46C6"/>
    <w:rsid w:val="00CA48D0"/>
    <w:rsid w:val="00CA7A0F"/>
    <w:rsid w:val="00CB6DC0"/>
    <w:rsid w:val="00CC0AF6"/>
    <w:rsid w:val="00CC3D9A"/>
    <w:rsid w:val="00CD0786"/>
    <w:rsid w:val="00CD0D8B"/>
    <w:rsid w:val="00CD11D5"/>
    <w:rsid w:val="00CD1404"/>
    <w:rsid w:val="00CD30FD"/>
    <w:rsid w:val="00CD50BA"/>
    <w:rsid w:val="00CD5181"/>
    <w:rsid w:val="00CD6F64"/>
    <w:rsid w:val="00CF206F"/>
    <w:rsid w:val="00CF5132"/>
    <w:rsid w:val="00D33AFE"/>
    <w:rsid w:val="00D4051D"/>
    <w:rsid w:val="00D437D1"/>
    <w:rsid w:val="00D5041A"/>
    <w:rsid w:val="00D733E4"/>
    <w:rsid w:val="00D777FD"/>
    <w:rsid w:val="00D96BBB"/>
    <w:rsid w:val="00DA13C1"/>
    <w:rsid w:val="00DA2583"/>
    <w:rsid w:val="00DA6150"/>
    <w:rsid w:val="00DA68A6"/>
    <w:rsid w:val="00DB2777"/>
    <w:rsid w:val="00DB7E91"/>
    <w:rsid w:val="00DC226D"/>
    <w:rsid w:val="00DC3866"/>
    <w:rsid w:val="00DD3386"/>
    <w:rsid w:val="00DE3FCF"/>
    <w:rsid w:val="00DE41D6"/>
    <w:rsid w:val="00DF1D4E"/>
    <w:rsid w:val="00DF5210"/>
    <w:rsid w:val="00DF5750"/>
    <w:rsid w:val="00DF5C4F"/>
    <w:rsid w:val="00DF7B80"/>
    <w:rsid w:val="00DF7E13"/>
    <w:rsid w:val="00E0039E"/>
    <w:rsid w:val="00E04D26"/>
    <w:rsid w:val="00E07D9F"/>
    <w:rsid w:val="00E119D4"/>
    <w:rsid w:val="00E15D6D"/>
    <w:rsid w:val="00E31D88"/>
    <w:rsid w:val="00E419E5"/>
    <w:rsid w:val="00E44A86"/>
    <w:rsid w:val="00E544F6"/>
    <w:rsid w:val="00E54BB6"/>
    <w:rsid w:val="00E61602"/>
    <w:rsid w:val="00E65722"/>
    <w:rsid w:val="00E755AC"/>
    <w:rsid w:val="00E9339C"/>
    <w:rsid w:val="00EA1EB6"/>
    <w:rsid w:val="00EA69F4"/>
    <w:rsid w:val="00EB2570"/>
    <w:rsid w:val="00EB5261"/>
    <w:rsid w:val="00EC13B0"/>
    <w:rsid w:val="00EC49C8"/>
    <w:rsid w:val="00ED0CC6"/>
    <w:rsid w:val="00ED397C"/>
    <w:rsid w:val="00ED42A6"/>
    <w:rsid w:val="00ED610C"/>
    <w:rsid w:val="00ED798C"/>
    <w:rsid w:val="00EE04CD"/>
    <w:rsid w:val="00EE2F82"/>
    <w:rsid w:val="00EE6AD8"/>
    <w:rsid w:val="00EF461E"/>
    <w:rsid w:val="00EF4846"/>
    <w:rsid w:val="00EF7569"/>
    <w:rsid w:val="00EF7DD2"/>
    <w:rsid w:val="00F04476"/>
    <w:rsid w:val="00F06E55"/>
    <w:rsid w:val="00F07C26"/>
    <w:rsid w:val="00F07F25"/>
    <w:rsid w:val="00F20D6A"/>
    <w:rsid w:val="00F215E8"/>
    <w:rsid w:val="00F23238"/>
    <w:rsid w:val="00F2416A"/>
    <w:rsid w:val="00F309EC"/>
    <w:rsid w:val="00F37A76"/>
    <w:rsid w:val="00F4200A"/>
    <w:rsid w:val="00F42FC0"/>
    <w:rsid w:val="00F4346D"/>
    <w:rsid w:val="00F438F3"/>
    <w:rsid w:val="00F5293E"/>
    <w:rsid w:val="00F57807"/>
    <w:rsid w:val="00F63545"/>
    <w:rsid w:val="00F667DF"/>
    <w:rsid w:val="00F74B9F"/>
    <w:rsid w:val="00F817FB"/>
    <w:rsid w:val="00F836D8"/>
    <w:rsid w:val="00F84514"/>
    <w:rsid w:val="00F861CD"/>
    <w:rsid w:val="00F9108A"/>
    <w:rsid w:val="00F925BE"/>
    <w:rsid w:val="00F94BD8"/>
    <w:rsid w:val="00F96BF1"/>
    <w:rsid w:val="00F97E01"/>
    <w:rsid w:val="00FA34C3"/>
    <w:rsid w:val="00FA3835"/>
    <w:rsid w:val="00FA7DD1"/>
    <w:rsid w:val="00FC19D2"/>
    <w:rsid w:val="00FC4C47"/>
    <w:rsid w:val="00FD5779"/>
    <w:rsid w:val="00FE7453"/>
    <w:rsid w:val="00FF046A"/>
    <w:rsid w:val="00FF38D4"/>
    <w:rsid w:val="00FF5BF2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573DC-56A1-4BBA-B8FB-6226AAA0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3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0CA5"/>
    <w:rPr>
      <w:color w:val="0000FF"/>
      <w:u w:val="single"/>
    </w:rPr>
  </w:style>
  <w:style w:type="paragraph" w:customStyle="1" w:styleId="ajustify">
    <w:name w:val="ajustify"/>
    <w:basedOn w:val="a"/>
    <w:rsid w:val="005E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E0C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C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C6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">
    <w:name w:val="news"/>
    <w:basedOn w:val="a0"/>
    <w:uiPriority w:val="99"/>
    <w:rsid w:val="003706E4"/>
    <w:rPr>
      <w:rFonts w:cs="Times New Roman"/>
    </w:rPr>
  </w:style>
  <w:style w:type="paragraph" w:styleId="a8">
    <w:name w:val="No Spacing"/>
    <w:uiPriority w:val="1"/>
    <w:qFormat/>
    <w:rsid w:val="00A1434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14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9">
    <w:name w:val="Знак Знак Знак"/>
    <w:basedOn w:val="a"/>
    <w:rsid w:val="00A96F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0">
    <w:name w:val="a1"/>
    <w:basedOn w:val="a"/>
    <w:rsid w:val="004D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Message Header"/>
    <w:basedOn w:val="a"/>
    <w:link w:val="ab"/>
    <w:uiPriority w:val="99"/>
    <w:unhideWhenUsed/>
    <w:rsid w:val="004D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Шапка Знак"/>
    <w:basedOn w:val="a0"/>
    <w:link w:val="aa"/>
    <w:uiPriority w:val="99"/>
    <w:rsid w:val="004D2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toc 4"/>
    <w:basedOn w:val="a"/>
    <w:autoRedefine/>
    <w:uiPriority w:val="39"/>
    <w:unhideWhenUsed/>
    <w:rsid w:val="004D25E9"/>
    <w:pPr>
      <w:spacing w:before="100" w:beforeAutospacing="1" w:after="100" w:afterAutospacing="1" w:line="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A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17628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character" w:customStyle="1" w:styleId="ae">
    <w:name w:val="Основной текст Знак"/>
    <w:basedOn w:val="a0"/>
    <w:link w:val="ad"/>
    <w:rsid w:val="00176281"/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paragraph" w:customStyle="1" w:styleId="P15">
    <w:name w:val="P15"/>
    <w:basedOn w:val="a"/>
    <w:rsid w:val="00AE14A7"/>
    <w:pPr>
      <w:widowControl w:val="0"/>
      <w:autoSpaceDE w:val="0"/>
      <w:autoSpaceDN w:val="0"/>
      <w:adjustRightInd w:val="0"/>
      <w:spacing w:after="0" w:line="360" w:lineRule="auto"/>
      <w:ind w:firstLine="567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C6E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C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unhideWhenUsed/>
    <w:rsid w:val="00496FC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96FCB"/>
  </w:style>
  <w:style w:type="paragraph" w:styleId="21">
    <w:name w:val="Body Text 2"/>
    <w:basedOn w:val="a"/>
    <w:link w:val="22"/>
    <w:rsid w:val="0007192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rsid w:val="0007192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6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2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2"/>
      <c:hPercent val="53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492063492063489E-2"/>
          <c:y val="3.5999999999999997E-2"/>
          <c:w val="0.92290249433106575"/>
          <c:h val="0.823999999999999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00FF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7157239253867419E-2"/>
                  <c:y val="-2.9777508580658203E-2"/>
                </c:manualLayout>
              </c:layout>
              <c:tx>
                <c:rich>
                  <a:bodyPr/>
                  <a:lstStyle/>
                  <a:p>
                    <a:fld id="{C8B9430C-4DC3-4A3D-8D58-47857C948A5B}" type="VALUE">
                      <a:rPr lang="en-US" sz="100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6.0401665819647142E-2"/>
                  <c:y val="-2.8281445588532197E-2"/>
                </c:manualLayout>
              </c:layout>
              <c:tx>
                <c:rich>
                  <a:bodyPr/>
                  <a:lstStyle/>
                  <a:p>
                    <a:fld id="{FDC14E22-4B37-4962-8F0C-0A94CB6B2A88}" type="VALUE">
                      <a:rPr lang="en-US" sz="100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5.911071220627042E-2"/>
                  <c:y val="-2.7462144155057544E-2"/>
                </c:manualLayout>
              </c:layout>
              <c:tx>
                <c:rich>
                  <a:bodyPr/>
                  <a:lstStyle/>
                  <a:p>
                    <a:fld id="{3EB58BCB-D9DE-4105-BCBC-8E6454B2146A}" type="VALUE">
                      <a:rPr lang="en-US" sz="100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37.32</c:v>
                </c:pt>
                <c:pt idx="1">
                  <c:v>45.31</c:v>
                </c:pt>
                <c:pt idx="2">
                  <c:v>45.89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142925560"/>
        <c:axId val="142924776"/>
        <c:axId val="0"/>
      </c:bar3DChart>
      <c:catAx>
        <c:axId val="142925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2924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924776"/>
        <c:scaling>
          <c:orientation val="minMax"/>
        </c:scaling>
        <c:delete val="0"/>
        <c:axPos val="l"/>
        <c:majorGridlines>
          <c:spPr>
            <a:ln w="12702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2925560"/>
        <c:crosses val="autoZero"/>
        <c:crossBetween val="between"/>
      </c:valAx>
      <c:spPr>
        <a:noFill/>
        <a:ln w="2540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753346080305928"/>
          <c:y val="5.1724137931034482E-2"/>
          <c:w val="0.54684512428298282"/>
          <c:h val="0.4913793103448275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Средние предприятия</c:v>
                </c:pt>
                <c:pt idx="1">
                  <c:v>Малые предприятия</c:v>
                </c:pt>
                <c:pt idx="2">
                  <c:v>Микропредприятия</c:v>
                </c:pt>
                <c:pt idx="3">
                  <c:v>Крестьянские фермерские хозяйства</c:v>
                </c:pt>
                <c:pt idx="4">
                  <c:v>Индивидуальные предприниматели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41</c:v>
                </c:pt>
                <c:pt idx="1">
                  <c:v>330</c:v>
                </c:pt>
                <c:pt idx="2">
                  <c:v>1326</c:v>
                </c:pt>
                <c:pt idx="3">
                  <c:v>7</c:v>
                </c:pt>
                <c:pt idx="4">
                  <c:v>3399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Средние предприятия</c:v>
                </c:pt>
                <c:pt idx="1">
                  <c:v>Малые предприятия</c:v>
                </c:pt>
                <c:pt idx="2">
                  <c:v>Микропредприятия</c:v>
                </c:pt>
                <c:pt idx="3">
                  <c:v>Крестьянские фермерские хозяйства</c:v>
                </c:pt>
                <c:pt idx="4">
                  <c:v>Индивидуальные предприниматели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Средние предприятия</c:v>
                </c:pt>
                <c:pt idx="1">
                  <c:v>Малые предприятия</c:v>
                </c:pt>
                <c:pt idx="2">
                  <c:v>Микропредприятия</c:v>
                </c:pt>
                <c:pt idx="3">
                  <c:v>Крестьянские фермерские хозяйства</c:v>
                </c:pt>
                <c:pt idx="4">
                  <c:v>Индивидуальные предприниматели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egendEntry>
        <c:idx val="3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9.5602294455066919E-2"/>
          <c:y val="0.52586206896551724"/>
          <c:w val="0.83556405353728491"/>
          <c:h val="0.4224137931034482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586145648312605E-2"/>
          <c:y val="7.6655052264808357E-2"/>
          <c:w val="0.89342806394316165"/>
          <c:h val="0.783972125435540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598891122307962E-4"/>
                  <c:y val="-3.00950444756859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644633844481842E-3"/>
                  <c:y val="-2.32134397834416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9613565410706798E-4"/>
                  <c:y val="-2.87795264813381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январь - ноябрь 2016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1344.2</c:v>
                </c:pt>
                <c:pt idx="1">
                  <c:v>2557.1999999999998</c:v>
                </c:pt>
                <c:pt idx="2">
                  <c:v>1855.9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364768"/>
        <c:axId val="279125096"/>
      </c:barChart>
      <c:catAx>
        <c:axId val="27436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9125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125096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4364768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701754385964913E-2"/>
          <c:y val="3.3582089552238806E-2"/>
          <c:w val="0.90175438596491231"/>
          <c:h val="0.723880597014925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введено жилья</c:v>
                </c:pt>
              </c:strCache>
            </c:strRef>
          </c:tx>
          <c:spPr>
            <a:solidFill>
              <a:srgbClr val="3366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311035530721996E-2"/>
                  <c:y val="-3.69862631468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720970223549703E-2"/>
                  <c:y val="-3.2627272687417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902653729082424E-2"/>
                  <c:y val="-3.0360571004382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8947368421052631"/>
                  <c:y val="0.66791044776119401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3"/>
                <c:pt idx="0">
                  <c:v>50553</c:v>
                </c:pt>
                <c:pt idx="1">
                  <c:v>50610</c:v>
                </c:pt>
                <c:pt idx="2">
                  <c:v>52171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том числе индивидуальное жилье</c:v>
                </c:pt>
              </c:strCache>
            </c:strRef>
          </c:tx>
          <c:spPr>
            <a:solidFill>
              <a:srgbClr val="008000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8165444836636787E-2"/>
                  <c:y val="-1.6091230082849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807941657020652E-2"/>
                  <c:y val="-1.246322468218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235420209497472E-2"/>
                  <c:y val="-1.6114709151307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94736842105263153"/>
                  <c:y val="0.84701492537313428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3"/>
                <c:pt idx="0">
                  <c:v>5696</c:v>
                </c:pt>
                <c:pt idx="1">
                  <c:v>11785</c:v>
                </c:pt>
                <c:pt idx="2">
                  <c:v>23989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pyramid"/>
        <c:axId val="279125880"/>
        <c:axId val="279126272"/>
        <c:axId val="0"/>
      </c:bar3DChart>
      <c:catAx>
        <c:axId val="279125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9126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126272"/>
        <c:scaling>
          <c:orientation val="minMax"/>
        </c:scaling>
        <c:delete val="0"/>
        <c:axPos val="l"/>
        <c:majorGridlines>
          <c:spPr>
            <a:ln w="1268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9125880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layout>
        <c:manualLayout>
          <c:xMode val="edge"/>
          <c:yMode val="edge"/>
          <c:x val="0.17192982456140352"/>
          <c:y val="0.89552238805970152"/>
          <c:w val="0.65438596491228074"/>
          <c:h val="9.3283582089552244E-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34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5174825174825169E-2"/>
          <c:y val="4.878048780487805E-2"/>
          <c:w val="0.92482517482517479"/>
          <c:h val="0.682926829268292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2672282404863008E-2"/>
                  <c:y val="-5.7407666362588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378959820944667E-2"/>
                  <c:y val="-5.2029889651750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092810324425251E-2"/>
                  <c:y val="-4.8084389603738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2167832167832167"/>
                  <c:y val="0.121951219512195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1773</c:v>
                </c:pt>
                <c:pt idx="1">
                  <c:v>1699</c:v>
                </c:pt>
                <c:pt idx="2">
                  <c:v>1591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6359962030738999E-2"/>
                  <c:y val="-4.4310703540106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073812534219635E-2"/>
                  <c:y val="-4.2927259378400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528741698552955E-2"/>
                  <c:y val="-3.791195546059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6363636363636365"/>
                  <c:y val="0.357723577235772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1358</c:v>
                </c:pt>
                <c:pt idx="1">
                  <c:v>1330</c:v>
                </c:pt>
                <c:pt idx="2">
                  <c:v>1246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Естественный прирост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242830115954493E-2"/>
                  <c:y val="-4.2642376448370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6201435864190286E-2"/>
                  <c:y val="-3.4583003248831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404616776775489E-2"/>
                  <c:y val="-3.5652807118622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9860139860139865"/>
                  <c:y val="0.926829268292682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415</c:v>
                </c:pt>
                <c:pt idx="1">
                  <c:v>369</c:v>
                </c:pt>
                <c:pt idx="2">
                  <c:v>345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gapDepth val="0"/>
        <c:shape val="box"/>
        <c:axId val="279127448"/>
        <c:axId val="279127840"/>
        <c:axId val="0"/>
      </c:bar3DChart>
      <c:catAx>
        <c:axId val="279127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9127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127840"/>
        <c:scaling>
          <c:orientation val="minMax"/>
          <c:max val="20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9127448"/>
        <c:crosses val="autoZero"/>
        <c:crossBetween val="between"/>
        <c:majorUnit val="500"/>
        <c:minorUnit val="1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9055944055944055"/>
          <c:y val="0.86991869918699183"/>
          <c:w val="0.6223776223776224"/>
          <c:h val="0.1097560975609756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4"/>
      <c:hPercent val="54"/>
      <c:rotY val="5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2741935483870969E-2"/>
          <c:y val="3.2490974729241874E-2"/>
          <c:w val="0.88709677419354838"/>
          <c:h val="0.776173285198556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Среднемесячная заработная плата на одного работника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97480944105497E-2"/>
                  <c:y val="-4.3662222067271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259696276968309E-2"/>
                  <c:y val="-3.5875850994543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495988532161469E-2"/>
                  <c:y val="-3.7101710353477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январь - ноябрь 2016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27159.8</c:v>
                </c:pt>
                <c:pt idx="1">
                  <c:v>28936.9</c:v>
                </c:pt>
                <c:pt idx="2">
                  <c:v>30286.9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0"/>
        <c:shape val="pyramid"/>
        <c:axId val="279128624"/>
        <c:axId val="279129016"/>
        <c:axId val="0"/>
      </c:bar3DChart>
      <c:catAx>
        <c:axId val="279128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9129016"/>
        <c:crossesAt val="500"/>
        <c:auto val="1"/>
        <c:lblAlgn val="ctr"/>
        <c:lblOffset val="100"/>
        <c:tickLblSkip val="1"/>
        <c:tickMarkSkip val="1"/>
        <c:noMultiLvlLbl val="0"/>
      </c:catAx>
      <c:valAx>
        <c:axId val="279129016"/>
        <c:scaling>
          <c:orientation val="minMax"/>
          <c:max val="31000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9128624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9"/>
      <c:hPercent val="53"/>
      <c:rotY val="1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8803088803088806E-2"/>
          <c:y val="3.1914893617021274E-2"/>
          <c:w val="0.89189189189189189"/>
          <c:h val="0.7801418439716312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Среднемесячная заработная плата на одного работника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65973387465435E-3"/>
                  <c:y val="-6.187870971098008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41295498411057E-3"/>
                  <c:y val="-5.514665191770877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606067168084323E-2"/>
                  <c:y val="-5.92721450477390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96525096525096521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январь - ноябрь 2016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25810</c:v>
                </c:pt>
                <c:pt idx="1">
                  <c:v>27448</c:v>
                </c:pt>
                <c:pt idx="2">
                  <c:v>27090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0"/>
        <c:shape val="cone"/>
        <c:axId val="279129800"/>
        <c:axId val="279130192"/>
        <c:axId val="0"/>
      </c:bar3DChart>
      <c:catAx>
        <c:axId val="279129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9130192"/>
        <c:crossesAt val="500"/>
        <c:auto val="1"/>
        <c:lblAlgn val="ctr"/>
        <c:lblOffset val="100"/>
        <c:tickLblSkip val="1"/>
        <c:tickMarkSkip val="1"/>
        <c:noMultiLvlLbl val="0"/>
      </c:catAx>
      <c:valAx>
        <c:axId val="279130192"/>
        <c:scaling>
          <c:orientation val="minMax"/>
          <c:max val="31000"/>
          <c:min val="0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91298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50"/>
      <c:rotY val="1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75E-2"/>
          <c:y val="3.5335689045936397E-2"/>
          <c:w val="0.88786764705882348"/>
          <c:h val="0.837455830388692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8080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105354603821712E-2"/>
                  <c:y val="-4.3448498374864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430989633409788E-2"/>
                  <c:y val="-4.7496233161040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922530375463473E-2"/>
                  <c:y val="-4.5082978395353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11096</c:v>
                </c:pt>
                <c:pt idx="1">
                  <c:v>12302.6</c:v>
                </c:pt>
                <c:pt idx="2">
                  <c:v>12692.1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9130584"/>
        <c:axId val="279130976"/>
        <c:axId val="0"/>
      </c:bar3DChart>
      <c:catAx>
        <c:axId val="279130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9130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130976"/>
        <c:scaling>
          <c:orientation val="minMax"/>
        </c:scaling>
        <c:delete val="0"/>
        <c:axPos val="l"/>
        <c:majorGridlines>
          <c:spPr>
            <a:ln w="12698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9130584"/>
        <c:crosses val="autoZero"/>
        <c:crossBetween val="between"/>
      </c:valAx>
      <c:spPr>
        <a:noFill/>
        <a:ln w="2539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8"/>
      <c:hPercent val="47"/>
      <c:rotY val="29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298769771529004E-2"/>
          <c:y val="2.2653721682847898E-2"/>
          <c:w val="0.91388400702987693"/>
          <c:h val="0.760517799352750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33CCCC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3.2585729774207761E-2"/>
                  <c:y val="-4.7160068560836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202303305337419E-2"/>
                  <c:y val="-4.5409033673876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8606223057908139E-2"/>
                  <c:y val="-4.4467372612906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9103690685413006"/>
                  <c:y val="0.579288025889967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3"/>
                <c:pt idx="0">
                  <c:v>2075.3000000000002</c:v>
                </c:pt>
                <c:pt idx="1">
                  <c:v>2197.8000000000002</c:v>
                </c:pt>
                <c:pt idx="2">
                  <c:v>2375.5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CC99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8007765977903703E-2"/>
                  <c:y val="-3.8066681540632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381627428836817E-2"/>
                  <c:y val="-3.1672697333078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4028077937119376E-2"/>
                  <c:y val="-3.1562048443917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94903339191564151"/>
                  <c:y val="0.73462783171521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3"/>
                <c:pt idx="0">
                  <c:v>1968.5</c:v>
                </c:pt>
                <c:pt idx="1">
                  <c:v>2177.4</c:v>
                </c:pt>
                <c:pt idx="2">
                  <c:v>2398.6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pyramid"/>
        <c:axId val="279131760"/>
        <c:axId val="279132152"/>
        <c:axId val="0"/>
      </c:bar3DChart>
      <c:catAx>
        <c:axId val="27913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9132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132152"/>
        <c:scaling>
          <c:orientation val="minMax"/>
        </c:scaling>
        <c:delete val="0"/>
        <c:axPos val="l"/>
        <c:majorGridlines>
          <c:spPr>
            <a:ln w="1269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9131760"/>
        <c:crosses val="autoZero"/>
        <c:crossBetween val="between"/>
      </c:valAx>
      <c:spPr>
        <a:noFill/>
        <a:ln w="25379">
          <a:noFill/>
        </a:ln>
      </c:spPr>
    </c:plotArea>
    <c:legend>
      <c:legendPos val="b"/>
      <c:layout>
        <c:manualLayout>
          <c:xMode val="edge"/>
          <c:yMode val="edge"/>
          <c:x val="0.35500878734622143"/>
          <c:y val="0.90291262135922334"/>
          <c:w val="0.28822495606326887"/>
          <c:h val="8.7378640776699032E-2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2"/>
      <c:hPercent val="53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492063492063489E-2"/>
          <c:y val="3.5999999999999997E-2"/>
          <c:w val="0.92290249433106575"/>
          <c:h val="0.823999999999999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66CC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8080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8080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8080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7677508398241449E-2"/>
                  <c:y val="-4.708015344235815E-2"/>
                </c:manualLayout>
              </c:layout>
              <c:tx>
                <c:rich>
                  <a:bodyPr/>
                  <a:lstStyle/>
                  <a:p>
                    <a:fld id="{6961DA69-54E2-436F-BD50-C61CD3FA8014}" type="VALUE">
                      <a:rPr lang="en-US" sz="100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6.0401665819647142E-2"/>
                  <c:y val="-4.8323036543508981E-2"/>
                </c:manualLayout>
              </c:layout>
              <c:tx>
                <c:rich>
                  <a:bodyPr/>
                  <a:lstStyle/>
                  <a:p>
                    <a:fld id="{A44C2742-335D-4E04-B44D-0D9030122589}" type="VALUE">
                      <a:rPr lang="en-US" sz="100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5.911071220627042E-2"/>
                  <c:y val="-4.7706440541086206E-2"/>
                </c:manualLayout>
              </c:layout>
              <c:tx>
                <c:rich>
                  <a:bodyPr/>
                  <a:lstStyle/>
                  <a:p>
                    <a:fld id="{B393166F-252B-46B3-9F0A-0275872CD72F}" type="VALUE">
                      <a:rPr lang="en-US" sz="100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29.5</c:v>
                </c:pt>
                <c:pt idx="1">
                  <c:v>34.89</c:v>
                </c:pt>
                <c:pt idx="2">
                  <c:v>34.92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3902528"/>
        <c:axId val="263902136"/>
        <c:axId val="0"/>
      </c:bar3DChart>
      <c:catAx>
        <c:axId val="26390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63902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3902136"/>
        <c:scaling>
          <c:orientation val="minMax"/>
          <c:max val="37"/>
          <c:min val="0"/>
        </c:scaling>
        <c:delete val="0"/>
        <c:axPos val="l"/>
        <c:majorGridlines>
          <c:spPr>
            <a:ln w="12702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63902528"/>
        <c:crosses val="autoZero"/>
        <c:crossBetween val="between"/>
      </c:valAx>
      <c:spPr>
        <a:noFill/>
        <a:ln w="2540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45"/>
      <c:rotY val="19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724832214765099E-2"/>
          <c:y val="6.1371841155234655E-2"/>
          <c:w val="0.9261744966442953"/>
          <c:h val="0.844765342960288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80008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4.3691586777448527E-2"/>
                  <c:y val="-9.9254749535633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679875370087379E-2"/>
                  <c:y val="-0.108297474086321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73527805668583E-2"/>
                  <c:y val="-0.102364769341756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99328859060402686"/>
                  <c:y val="0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3"/>
                <c:pt idx="0">
                  <c:v>110.2</c:v>
                </c:pt>
                <c:pt idx="1">
                  <c:v>127.6</c:v>
                </c:pt>
                <c:pt idx="2">
                  <c:v>107.8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2990504"/>
        <c:axId val="274357320"/>
        <c:axId val="0"/>
      </c:bar3DChart>
      <c:catAx>
        <c:axId val="262990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4357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4357320"/>
        <c:scaling>
          <c:orientation val="minMax"/>
        </c:scaling>
        <c:delete val="0"/>
        <c:axPos val="l"/>
        <c:majorGridlines>
          <c:spPr>
            <a:ln w="12701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62990504"/>
        <c:crosses val="autoZero"/>
        <c:crossBetween val="between"/>
      </c:valAx>
      <c:spPr>
        <a:noFill/>
        <a:ln w="2540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2"/>
      <c:hPercent val="53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097505668934238E-2"/>
          <c:y val="3.5999999999999997E-2"/>
          <c:w val="0.90929705215419498"/>
          <c:h val="0.804000000000000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00FF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6954236437898528E-2"/>
                  <c:y val="-4.4890773268726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888482976688402E-2"/>
                  <c:y val="-4.3405612759943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319941556244294E-2"/>
                  <c:y val="-4.1028467595396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 w="25403">
                  <a:noFill/>
                </a:ln>
              </c:spPr>
              <c:txPr>
                <a:bodyPr/>
                <a:lstStyle/>
                <a:p>
                  <a:pPr>
                    <a:defRPr sz="8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159.4</c:v>
                </c:pt>
                <c:pt idx="1">
                  <c:v>146</c:v>
                </c:pt>
                <c:pt idx="2">
                  <c:v>115.4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4358104"/>
        <c:axId val="274358496"/>
        <c:axId val="0"/>
      </c:bar3DChart>
      <c:catAx>
        <c:axId val="274358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4358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4358496"/>
        <c:scaling>
          <c:orientation val="minMax"/>
          <c:max val="170"/>
          <c:min val="0"/>
        </c:scaling>
        <c:delete val="0"/>
        <c:axPos val="l"/>
        <c:majorGridlines>
          <c:spPr>
            <a:ln w="12702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4358104"/>
        <c:crosses val="autoZero"/>
        <c:crossBetween val="between"/>
      </c:valAx>
      <c:spPr>
        <a:noFill/>
        <a:ln w="2540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2"/>
      <c:hPercent val="47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864271457085831E-2"/>
          <c:y val="3.5999999999999997E-2"/>
          <c:w val="0.92015968063872255"/>
          <c:h val="0.804000000000000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3773877887936472E-2"/>
                  <c:y val="-2.5712497476276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9065830309888E-2"/>
                  <c:y val="-2.9425398748233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055256237913291E-2"/>
                  <c:y val="-2.422329901070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104.6</c:v>
                </c:pt>
                <c:pt idx="1">
                  <c:v>125.9</c:v>
                </c:pt>
                <c:pt idx="2">
                  <c:v>106.4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pyramid"/>
        <c:axId val="274359280"/>
        <c:axId val="274359672"/>
        <c:axId val="0"/>
      </c:bar3DChart>
      <c:catAx>
        <c:axId val="27435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4359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4359672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43592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2"/>
      <c:hPercent val="53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90022675736962E-2"/>
          <c:y val="3.5999999999999997E-2"/>
          <c:w val="0.9024943310657596"/>
          <c:h val="0.804000000000000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0000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7714719457977195E-2"/>
                  <c:y val="-3.8562083585705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201814098546585E-2"/>
                  <c:y val="-4.0174843529174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940069931866686E-2"/>
                  <c:y val="-3.9464163133454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 w="25403">
                  <a:noFill/>
                </a:ln>
              </c:spPr>
              <c:txPr>
                <a:bodyPr/>
                <a:lstStyle/>
                <a:p>
                  <a:pPr>
                    <a:defRPr sz="8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96</c:v>
                </c:pt>
                <c:pt idx="1">
                  <c:v>96.1</c:v>
                </c:pt>
                <c:pt idx="2">
                  <c:v>96.8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274360456"/>
        <c:axId val="274360848"/>
        <c:axId val="0"/>
      </c:bar3DChart>
      <c:catAx>
        <c:axId val="274360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4360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4360848"/>
        <c:scaling>
          <c:orientation val="minMax"/>
          <c:max val="97"/>
        </c:scaling>
        <c:delete val="0"/>
        <c:axPos val="l"/>
        <c:majorGridlines>
          <c:spPr>
            <a:ln w="12702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4360456"/>
        <c:crosses val="autoZero"/>
        <c:crossBetween val="between"/>
      </c:valAx>
      <c:spPr>
        <a:noFill/>
        <a:ln w="2540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2"/>
      <c:hPercent val="53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0839002267574"/>
          <c:y val="3.5999999999999997E-2"/>
          <c:w val="0.88208616780045357"/>
          <c:h val="0.804000000000000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3300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9138886147308873E-2"/>
                  <c:y val="-1.8754694124772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741741499924148E-2"/>
                  <c:y val="-2.7797294568948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076790369528149E-2"/>
                  <c:y val="-2.5859075307894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 w="25403">
                  <a:noFill/>
                </a:ln>
              </c:spPr>
              <c:txPr>
                <a:bodyPr/>
                <a:lstStyle/>
                <a:p>
                  <a:pPr>
                    <a:defRPr sz="8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15487.8</c:v>
                </c:pt>
                <c:pt idx="1">
                  <c:v>22408.2</c:v>
                </c:pt>
                <c:pt idx="2">
                  <c:v>23522.6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pyramid"/>
        <c:axId val="274361632"/>
        <c:axId val="274362024"/>
        <c:axId val="0"/>
      </c:bar3DChart>
      <c:catAx>
        <c:axId val="27436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4362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4362024"/>
        <c:scaling>
          <c:orientation val="minMax"/>
          <c:max val="25000"/>
          <c:min val="10000"/>
        </c:scaling>
        <c:delete val="0"/>
        <c:axPos val="l"/>
        <c:majorGridlines>
          <c:spPr>
            <a:ln w="12702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4361632"/>
        <c:crosses val="autoZero"/>
        <c:crossBetween val="between"/>
      </c:valAx>
      <c:spPr>
        <a:noFill/>
        <a:ln w="2540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660303034260022"/>
          <c:y val="4.5559879727677721E-2"/>
          <c:w val="0.5557432432432432"/>
          <c:h val="0.517928286852589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00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80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электроэнергии, газа и воды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0.23200000000000001</c:v>
                </c:pt>
                <c:pt idx="1">
                  <c:v>0.72099999999999997</c:v>
                </c:pt>
                <c:pt idx="2">
                  <c:v>4.7E-2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электроэнергии, газа и воды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электроэнергии, газа и воды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1.3266998341625208E-2"/>
          <c:y val="0.63346604561753728"/>
          <c:w val="0.98479729729729726"/>
          <c:h val="0.2709163346613545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2"/>
      <c:hPercent val="49"/>
      <c:rotY val="2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03583061889251"/>
          <c:y val="2.616279069767442E-2"/>
          <c:w val="0.85667752442996747"/>
          <c:h val="0.773255813953488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solidFill>
              <a:srgbClr val="0000FF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2.5413038917617141E-2"/>
                  <c:y val="-5.2938359029319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135927227337643E-2"/>
                  <c:y val="-5.2380416098425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525174753431478E-2"/>
                  <c:y val="-5.2014838154453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2573289902280134"/>
                  <c:y val="0.520348837209302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3"/>
                <c:pt idx="0">
                  <c:v>25942.1</c:v>
                </c:pt>
                <c:pt idx="1">
                  <c:v>29440.1</c:v>
                </c:pt>
                <c:pt idx="2">
                  <c:v>31398.2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Оборот общественного питания</c:v>
                </c:pt>
              </c:strCache>
            </c:strRef>
          </c:tx>
          <c:spPr>
            <a:solidFill>
              <a:srgbClr val="FF99CC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397718028293317E-2"/>
                  <c:y val="-3.1871478052199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120606338013816E-2"/>
                  <c:y val="-3.0832078405048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83477939098756E-2"/>
                  <c:y val="-2.85259360779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7947882736156346"/>
                  <c:y val="0.659883720930232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3"/>
                <c:pt idx="0">
                  <c:v>10451</c:v>
                </c:pt>
                <c:pt idx="1">
                  <c:v>1626.3</c:v>
                </c:pt>
                <c:pt idx="2">
                  <c:v>1719.1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pyramid"/>
        <c:axId val="274363200"/>
        <c:axId val="274363592"/>
        <c:axId val="0"/>
      </c:bar3DChart>
      <c:catAx>
        <c:axId val="27436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4363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4363592"/>
        <c:scaling>
          <c:orientation val="minMax"/>
        </c:scaling>
        <c:delete val="0"/>
        <c:axPos val="l"/>
        <c:majorGridlines>
          <c:spPr>
            <a:ln w="12664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43632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1074918566775244"/>
          <c:y val="0.91279079910929495"/>
          <c:w val="0.77850162866449502"/>
          <c:h val="7.8488250193215592E-2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98B4-4DDA-43D4-BAC0-49221083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8011</Words>
  <Characters>45669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Хамидуллина Гузель Ахатовна</cp:lastModifiedBy>
  <cp:revision>15</cp:revision>
  <cp:lastPrinted>2017-02-16T11:52:00Z</cp:lastPrinted>
  <dcterms:created xsi:type="dcterms:W3CDTF">2017-02-10T12:20:00Z</dcterms:created>
  <dcterms:modified xsi:type="dcterms:W3CDTF">2017-02-28T10:36:00Z</dcterms:modified>
</cp:coreProperties>
</file>