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90" w:rsidRPr="00745021" w:rsidRDefault="005A0190" w:rsidP="005A0190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745021">
        <w:rPr>
          <w:rFonts w:ascii="Times New Roman" w:hAnsi="Times New Roman" w:cs="Times New Roman"/>
          <w:color w:val="auto"/>
          <w:sz w:val="25"/>
          <w:szCs w:val="25"/>
        </w:rPr>
        <w:t xml:space="preserve">Информационное сообщение </w:t>
      </w:r>
    </w:p>
    <w:p w:rsidR="005A0190" w:rsidRPr="00745021" w:rsidRDefault="005A0190" w:rsidP="005A0190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745021">
        <w:rPr>
          <w:rFonts w:ascii="Times New Roman" w:hAnsi="Times New Roman" w:cs="Times New Roman"/>
          <w:color w:val="auto"/>
          <w:sz w:val="25"/>
          <w:szCs w:val="25"/>
        </w:rPr>
        <w:t xml:space="preserve">об исполнении бюджета городского округа город Октябрьский Республики Башкортостан </w:t>
      </w:r>
    </w:p>
    <w:p w:rsidR="00C610A4" w:rsidRPr="00745021" w:rsidRDefault="00C610A4" w:rsidP="005A0190">
      <w:pPr>
        <w:pStyle w:val="1"/>
        <w:spacing w:before="0" w:line="240" w:lineRule="auto"/>
        <w:ind w:left="900" w:right="1075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745021">
        <w:rPr>
          <w:rFonts w:ascii="Times New Roman" w:hAnsi="Times New Roman" w:cs="Times New Roman"/>
          <w:color w:val="auto"/>
          <w:sz w:val="25"/>
          <w:szCs w:val="25"/>
        </w:rPr>
        <w:t xml:space="preserve">за </w:t>
      </w:r>
      <w:r w:rsidRPr="00745021">
        <w:rPr>
          <w:rFonts w:ascii="Times New Roman" w:hAnsi="Times New Roman" w:cs="Times New Roman"/>
          <w:color w:val="auto"/>
          <w:sz w:val="25"/>
          <w:szCs w:val="25"/>
          <w:lang w:val="en-US"/>
        </w:rPr>
        <w:t>I</w:t>
      </w:r>
      <w:r w:rsidRPr="00745021">
        <w:rPr>
          <w:rFonts w:ascii="Times New Roman" w:hAnsi="Times New Roman" w:cs="Times New Roman"/>
          <w:color w:val="auto"/>
          <w:sz w:val="25"/>
          <w:szCs w:val="25"/>
        </w:rPr>
        <w:t xml:space="preserve"> полугодие 2014 года</w:t>
      </w:r>
    </w:p>
    <w:p w:rsidR="00C610A4" w:rsidRPr="00745021" w:rsidRDefault="00C610A4" w:rsidP="009D1A12">
      <w:pPr>
        <w:spacing w:line="240" w:lineRule="auto"/>
        <w:rPr>
          <w:sz w:val="25"/>
          <w:szCs w:val="25"/>
        </w:rPr>
      </w:pPr>
    </w:p>
    <w:p w:rsidR="00C610A4" w:rsidRPr="00745021" w:rsidRDefault="00C610A4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45021">
        <w:rPr>
          <w:rFonts w:ascii="Times New Roman" w:hAnsi="Times New Roman" w:cs="Times New Roman"/>
          <w:sz w:val="25"/>
          <w:szCs w:val="25"/>
        </w:rPr>
        <w:t xml:space="preserve">Бюджет городского округа город Октябрьский Республики Башкортостан за </w:t>
      </w:r>
      <w:r w:rsidRPr="00745021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745021">
        <w:rPr>
          <w:rFonts w:ascii="Times New Roman" w:hAnsi="Times New Roman" w:cs="Times New Roman"/>
          <w:sz w:val="25"/>
          <w:szCs w:val="25"/>
        </w:rPr>
        <w:t xml:space="preserve"> полугодие текущего года по доходам выполнен на 53,4 %. При  годовом плане 1 637 281,8 тыс. рублей в местный бюджет поступило 874 604,2 тыс. рублей, из них: налоговых и неналоговых доходов – 471 449,6  тыс. рублей или 53,9</w:t>
      </w:r>
      <w:r w:rsidRPr="0074502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745021">
        <w:rPr>
          <w:rFonts w:ascii="Times New Roman" w:hAnsi="Times New Roman" w:cs="Times New Roman"/>
          <w:sz w:val="25"/>
          <w:szCs w:val="25"/>
        </w:rPr>
        <w:t>% от общей суммы поступлений, безвозмездных поступлений от других бюджетов бюджетной системы Российской Федерации – 403 154,6</w:t>
      </w:r>
      <w:proofErr w:type="gramEnd"/>
      <w:r w:rsidRPr="00745021">
        <w:rPr>
          <w:rFonts w:ascii="Times New Roman" w:hAnsi="Times New Roman" w:cs="Times New Roman"/>
          <w:sz w:val="25"/>
          <w:szCs w:val="25"/>
        </w:rPr>
        <w:t xml:space="preserve"> тыс. рублей или 46,1%. </w:t>
      </w:r>
    </w:p>
    <w:p w:rsidR="00C610A4" w:rsidRPr="00745021" w:rsidRDefault="00C610A4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 xml:space="preserve">Поступления налоговых и неналоговых доходов за </w:t>
      </w:r>
      <w:r w:rsidRPr="00745021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745021">
        <w:rPr>
          <w:rFonts w:ascii="Times New Roman" w:hAnsi="Times New Roman" w:cs="Times New Roman"/>
          <w:sz w:val="25"/>
          <w:szCs w:val="25"/>
        </w:rPr>
        <w:t xml:space="preserve"> полугодие текущего года составили 471 449,6  тыс. рублей или 48,3% к годовому плану (975 775,0 тыс. рублей). По сравнению с аналогичным периодом 2013 года поступления налоговых и неналоговых доходов увеличились на 69 697,6 тыс. рублей или на 17,3%.</w:t>
      </w:r>
    </w:p>
    <w:p w:rsidR="00C610A4" w:rsidRPr="00745021" w:rsidRDefault="00C610A4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>В структуре налоговых и неналоговых доходов бюджета городского округа удельный вес налоговых доходов составил 73,5 % (346 537,9 тыс. рублей), неналоговых доходов – 26,5 % (124 911,7 тыс. рублей).</w:t>
      </w:r>
    </w:p>
    <w:p w:rsidR="00C610A4" w:rsidRPr="00745021" w:rsidRDefault="00C610A4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45021">
        <w:rPr>
          <w:rFonts w:ascii="Times New Roman" w:hAnsi="Times New Roman" w:cs="Times New Roman"/>
          <w:sz w:val="25"/>
          <w:szCs w:val="25"/>
        </w:rPr>
        <w:t>Основными доходными источниками местного бюджета по налоговым и неналоговым доходам являются: налог на доходы физических лиц – 223 699,6 тыс. рублей (47,4%),  доходы от использования имущества, находящегося в государственной и муниципальной собственности – 96 258,9 тыс. рублей (20,4%), налоги на имущество – 56 998,6 тыс. рублей (12,1%), налоги на совокупный доход – 54 805,0 тыс. рублей (11,6%), доходы от продажи материальных и нематериальных активов</w:t>
      </w:r>
      <w:proofErr w:type="gramEnd"/>
      <w:r w:rsidRPr="00745021">
        <w:rPr>
          <w:rFonts w:ascii="Times New Roman" w:hAnsi="Times New Roman" w:cs="Times New Roman"/>
          <w:sz w:val="25"/>
          <w:szCs w:val="25"/>
        </w:rPr>
        <w:t xml:space="preserve"> – 19 204,6 тыс. рублей (4,1%).  </w:t>
      </w:r>
    </w:p>
    <w:p w:rsidR="00C610A4" w:rsidRPr="00745021" w:rsidRDefault="00C610A4" w:rsidP="00F52D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>На долю остальных доходов в общем объеме поступлений налоговых и неналоговых доходов приходится 4,3 % или 20 482,9 тыс. рублей.</w:t>
      </w:r>
    </w:p>
    <w:p w:rsidR="00C610A4" w:rsidRPr="00745021" w:rsidRDefault="00C610A4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 xml:space="preserve">За I полугодие 2014 года межбюджетные трансферты поступили в сумме 403 154,6 тыс. рублей или 60,9% к уточненному годовому плану (661 506,8 тыс. рублей). По сравнению с аналогичным периодом 2013 года поступления увеличились на 107 967,3 тыс. рублей или на 36,6 %. </w:t>
      </w:r>
    </w:p>
    <w:p w:rsidR="00C610A4" w:rsidRPr="00745021" w:rsidRDefault="00C610A4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610A4" w:rsidRPr="00745021" w:rsidRDefault="00C610A4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 xml:space="preserve">Уточненный годовой план по расходам за I полугодие текущего года выполнен на 46,4 %, при уточненном плане 1 697 191,0 тыс. рублей, </w:t>
      </w:r>
      <w:proofErr w:type="gramStart"/>
      <w:r w:rsidRPr="00745021">
        <w:rPr>
          <w:rFonts w:ascii="Times New Roman" w:hAnsi="Times New Roman" w:cs="Times New Roman"/>
          <w:sz w:val="25"/>
          <w:szCs w:val="25"/>
        </w:rPr>
        <w:t>кассовые</w:t>
      </w:r>
      <w:proofErr w:type="gramEnd"/>
      <w:r w:rsidRPr="00745021">
        <w:rPr>
          <w:rFonts w:ascii="Times New Roman" w:hAnsi="Times New Roman" w:cs="Times New Roman"/>
          <w:sz w:val="25"/>
          <w:szCs w:val="25"/>
        </w:rPr>
        <w:t xml:space="preserve"> расходы составили 787 038,1 тыс. рублей. </w:t>
      </w:r>
    </w:p>
    <w:p w:rsidR="00C610A4" w:rsidRPr="00745021" w:rsidRDefault="00C610A4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 xml:space="preserve">Наибольший удельный вес в общей сумме расходов бюджета городского округа составляют расходы на образование – 501 444,2 тыс. рублей (63,7%), на </w:t>
      </w:r>
      <w:proofErr w:type="gramStart"/>
      <w:r w:rsidRPr="00745021">
        <w:rPr>
          <w:rFonts w:ascii="Times New Roman" w:hAnsi="Times New Roman" w:cs="Times New Roman"/>
          <w:sz w:val="25"/>
          <w:szCs w:val="25"/>
        </w:rPr>
        <w:t>жилищно-коммунальное</w:t>
      </w:r>
      <w:proofErr w:type="gramEnd"/>
      <w:r w:rsidRPr="00745021">
        <w:rPr>
          <w:rFonts w:ascii="Times New Roman" w:hAnsi="Times New Roman" w:cs="Times New Roman"/>
          <w:sz w:val="25"/>
          <w:szCs w:val="25"/>
        </w:rPr>
        <w:t xml:space="preserve"> хозяйство – 121 268,7 тыс. рублей (15,4%), на национальную экономику – 58 381,6 тыс. рублей (7,4%), на социальную политику – 30 573,9 тыс. рублей (3,9%).</w:t>
      </w:r>
    </w:p>
    <w:p w:rsidR="00C610A4" w:rsidRPr="00745021" w:rsidRDefault="00C610A4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>По сравнению с аналогичным периодом прошлого года объем кассовых расходов увеличился на 145 121,3 тыс. рублей или на 22,6 %. Значительное увеличение произошло по разделам:</w:t>
      </w:r>
    </w:p>
    <w:p w:rsidR="00C610A4" w:rsidRPr="00745021" w:rsidRDefault="00C610A4" w:rsidP="00F52D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45021">
        <w:rPr>
          <w:rFonts w:ascii="Times New Roman" w:hAnsi="Times New Roman" w:cs="Times New Roman"/>
          <w:sz w:val="25"/>
          <w:szCs w:val="25"/>
        </w:rPr>
        <w:t>- «Жилищно-коммунальное хозяйство» на 59 708,3 тыс. рублей или в 97%, что связано с направлением средств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подготовку объектов коммунальной инфраструктуры к работе в осенне-зимний период в сумме 85 889,6 тыс. рублей;</w:t>
      </w:r>
      <w:proofErr w:type="gramEnd"/>
    </w:p>
    <w:p w:rsidR="00C610A4" w:rsidRPr="00745021" w:rsidRDefault="00C610A4" w:rsidP="00F52D9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745021">
        <w:rPr>
          <w:rFonts w:ascii="Times New Roman" w:hAnsi="Times New Roman" w:cs="Times New Roman"/>
          <w:sz w:val="25"/>
          <w:szCs w:val="25"/>
        </w:rPr>
        <w:t>- «Образование» на 50 663,2 тыс. рублей или 11,2%, в основном связанное с ростом расходов на оплату труда педагогических работников в целях реализации Указов Президента Российской Федерации.</w:t>
      </w:r>
      <w:bookmarkStart w:id="0" w:name="_GoBack"/>
      <w:bookmarkEnd w:id="0"/>
    </w:p>
    <w:sectPr w:rsidR="00C610A4" w:rsidRPr="00745021" w:rsidSect="007450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104DB"/>
    <w:rsid w:val="00010A12"/>
    <w:rsid w:val="000207C2"/>
    <w:rsid w:val="000218AB"/>
    <w:rsid w:val="00022B6E"/>
    <w:rsid w:val="00026367"/>
    <w:rsid w:val="00032004"/>
    <w:rsid w:val="0004295F"/>
    <w:rsid w:val="00053B7B"/>
    <w:rsid w:val="0005464E"/>
    <w:rsid w:val="0006051E"/>
    <w:rsid w:val="000626D1"/>
    <w:rsid w:val="00070B05"/>
    <w:rsid w:val="000714F6"/>
    <w:rsid w:val="000A42B2"/>
    <w:rsid w:val="000B14E9"/>
    <w:rsid w:val="000B66DE"/>
    <w:rsid w:val="000C3264"/>
    <w:rsid w:val="000D429C"/>
    <w:rsid w:val="000D45E0"/>
    <w:rsid w:val="000D4759"/>
    <w:rsid w:val="000D5BA8"/>
    <w:rsid w:val="000D7C49"/>
    <w:rsid w:val="000E03B3"/>
    <w:rsid w:val="000E4EB0"/>
    <w:rsid w:val="000F264B"/>
    <w:rsid w:val="000F60F9"/>
    <w:rsid w:val="00110DF4"/>
    <w:rsid w:val="001121E8"/>
    <w:rsid w:val="00125C87"/>
    <w:rsid w:val="001339A3"/>
    <w:rsid w:val="00134FFA"/>
    <w:rsid w:val="00143CF0"/>
    <w:rsid w:val="00147704"/>
    <w:rsid w:val="00177E62"/>
    <w:rsid w:val="001971F5"/>
    <w:rsid w:val="001B0ED9"/>
    <w:rsid w:val="001B5DA2"/>
    <w:rsid w:val="001B618C"/>
    <w:rsid w:val="001D32B1"/>
    <w:rsid w:val="001D6B69"/>
    <w:rsid w:val="001D6FA9"/>
    <w:rsid w:val="001E5751"/>
    <w:rsid w:val="002045C9"/>
    <w:rsid w:val="00210BB9"/>
    <w:rsid w:val="002171F9"/>
    <w:rsid w:val="0022032E"/>
    <w:rsid w:val="00220781"/>
    <w:rsid w:val="00224B18"/>
    <w:rsid w:val="00234066"/>
    <w:rsid w:val="00242CAE"/>
    <w:rsid w:val="002435B8"/>
    <w:rsid w:val="00263795"/>
    <w:rsid w:val="00266A39"/>
    <w:rsid w:val="002717C1"/>
    <w:rsid w:val="00275C66"/>
    <w:rsid w:val="00277514"/>
    <w:rsid w:val="00290199"/>
    <w:rsid w:val="00294389"/>
    <w:rsid w:val="00296DB6"/>
    <w:rsid w:val="002A064A"/>
    <w:rsid w:val="002A553E"/>
    <w:rsid w:val="002B19E1"/>
    <w:rsid w:val="002B3919"/>
    <w:rsid w:val="002B62A1"/>
    <w:rsid w:val="002C0F35"/>
    <w:rsid w:val="002C1AA4"/>
    <w:rsid w:val="002D0488"/>
    <w:rsid w:val="002D354A"/>
    <w:rsid w:val="002D3C4E"/>
    <w:rsid w:val="002D4265"/>
    <w:rsid w:val="002F3E9B"/>
    <w:rsid w:val="002F4BF0"/>
    <w:rsid w:val="002F5F03"/>
    <w:rsid w:val="003060CC"/>
    <w:rsid w:val="00332BA9"/>
    <w:rsid w:val="003349D3"/>
    <w:rsid w:val="00350305"/>
    <w:rsid w:val="00352E65"/>
    <w:rsid w:val="00353D13"/>
    <w:rsid w:val="00360BE4"/>
    <w:rsid w:val="003729D4"/>
    <w:rsid w:val="0037520D"/>
    <w:rsid w:val="00380F2C"/>
    <w:rsid w:val="003826AB"/>
    <w:rsid w:val="00393181"/>
    <w:rsid w:val="00393807"/>
    <w:rsid w:val="003A419A"/>
    <w:rsid w:val="003B26F8"/>
    <w:rsid w:val="003C07B8"/>
    <w:rsid w:val="003C1FB4"/>
    <w:rsid w:val="003C319C"/>
    <w:rsid w:val="003E2DDB"/>
    <w:rsid w:val="003E334B"/>
    <w:rsid w:val="004022D1"/>
    <w:rsid w:val="004127FC"/>
    <w:rsid w:val="0041607C"/>
    <w:rsid w:val="0042395E"/>
    <w:rsid w:val="00426905"/>
    <w:rsid w:val="00427EBA"/>
    <w:rsid w:val="00430C65"/>
    <w:rsid w:val="00431CF3"/>
    <w:rsid w:val="00435282"/>
    <w:rsid w:val="004364B9"/>
    <w:rsid w:val="00446E14"/>
    <w:rsid w:val="00463CF6"/>
    <w:rsid w:val="00473585"/>
    <w:rsid w:val="0049236C"/>
    <w:rsid w:val="004A10AF"/>
    <w:rsid w:val="004A452C"/>
    <w:rsid w:val="004B18CC"/>
    <w:rsid w:val="004B4555"/>
    <w:rsid w:val="004B6C05"/>
    <w:rsid w:val="004C772C"/>
    <w:rsid w:val="004E22EA"/>
    <w:rsid w:val="004E2C11"/>
    <w:rsid w:val="004E3F1B"/>
    <w:rsid w:val="004F0D19"/>
    <w:rsid w:val="004F72A0"/>
    <w:rsid w:val="00512E14"/>
    <w:rsid w:val="00516AF3"/>
    <w:rsid w:val="00525A8F"/>
    <w:rsid w:val="00527A03"/>
    <w:rsid w:val="005328E0"/>
    <w:rsid w:val="00537090"/>
    <w:rsid w:val="00544C3C"/>
    <w:rsid w:val="00546114"/>
    <w:rsid w:val="005578D8"/>
    <w:rsid w:val="00576743"/>
    <w:rsid w:val="00580B18"/>
    <w:rsid w:val="00587DAA"/>
    <w:rsid w:val="005A0190"/>
    <w:rsid w:val="005A1286"/>
    <w:rsid w:val="005A399D"/>
    <w:rsid w:val="005A50CA"/>
    <w:rsid w:val="005B0F0A"/>
    <w:rsid w:val="005B3D73"/>
    <w:rsid w:val="005C0052"/>
    <w:rsid w:val="005C36DB"/>
    <w:rsid w:val="005C61BF"/>
    <w:rsid w:val="005C66C0"/>
    <w:rsid w:val="005D2652"/>
    <w:rsid w:val="005D3F67"/>
    <w:rsid w:val="005F4EB9"/>
    <w:rsid w:val="0060499A"/>
    <w:rsid w:val="0061434A"/>
    <w:rsid w:val="00624659"/>
    <w:rsid w:val="00630ACF"/>
    <w:rsid w:val="006358EC"/>
    <w:rsid w:val="0064347F"/>
    <w:rsid w:val="0064643A"/>
    <w:rsid w:val="00653C41"/>
    <w:rsid w:val="006562B8"/>
    <w:rsid w:val="00656807"/>
    <w:rsid w:val="006629DE"/>
    <w:rsid w:val="006712AA"/>
    <w:rsid w:val="006757E1"/>
    <w:rsid w:val="00687A9B"/>
    <w:rsid w:val="006A3EAB"/>
    <w:rsid w:val="006A4673"/>
    <w:rsid w:val="006A6C49"/>
    <w:rsid w:val="006C159C"/>
    <w:rsid w:val="006C3DE4"/>
    <w:rsid w:val="006C78BD"/>
    <w:rsid w:val="006D2558"/>
    <w:rsid w:val="006D7358"/>
    <w:rsid w:val="006F163A"/>
    <w:rsid w:val="006F17A4"/>
    <w:rsid w:val="006F66C0"/>
    <w:rsid w:val="007144F6"/>
    <w:rsid w:val="00715BAA"/>
    <w:rsid w:val="007278A8"/>
    <w:rsid w:val="00745021"/>
    <w:rsid w:val="007463AE"/>
    <w:rsid w:val="00747D60"/>
    <w:rsid w:val="0075212F"/>
    <w:rsid w:val="007538D6"/>
    <w:rsid w:val="00760CBF"/>
    <w:rsid w:val="007837BE"/>
    <w:rsid w:val="0079643C"/>
    <w:rsid w:val="00796C1A"/>
    <w:rsid w:val="007A171C"/>
    <w:rsid w:val="007A6A22"/>
    <w:rsid w:val="007A74EB"/>
    <w:rsid w:val="007C28D0"/>
    <w:rsid w:val="007D3C2E"/>
    <w:rsid w:val="007E1384"/>
    <w:rsid w:val="007E209A"/>
    <w:rsid w:val="007E4630"/>
    <w:rsid w:val="007F0B73"/>
    <w:rsid w:val="008056A7"/>
    <w:rsid w:val="00810262"/>
    <w:rsid w:val="00816250"/>
    <w:rsid w:val="0082246F"/>
    <w:rsid w:val="00831EA8"/>
    <w:rsid w:val="0083736C"/>
    <w:rsid w:val="008421C9"/>
    <w:rsid w:val="00847246"/>
    <w:rsid w:val="00851ADB"/>
    <w:rsid w:val="008675F1"/>
    <w:rsid w:val="00874279"/>
    <w:rsid w:val="008A17AF"/>
    <w:rsid w:val="008A2ACF"/>
    <w:rsid w:val="008B306D"/>
    <w:rsid w:val="008B58EF"/>
    <w:rsid w:val="008B6ECC"/>
    <w:rsid w:val="008B7F3E"/>
    <w:rsid w:val="008C39B3"/>
    <w:rsid w:val="008D0AB9"/>
    <w:rsid w:val="008E2E1E"/>
    <w:rsid w:val="008E38C9"/>
    <w:rsid w:val="008E6329"/>
    <w:rsid w:val="008F3151"/>
    <w:rsid w:val="008F6769"/>
    <w:rsid w:val="009012C7"/>
    <w:rsid w:val="00907D26"/>
    <w:rsid w:val="0091294D"/>
    <w:rsid w:val="0091588F"/>
    <w:rsid w:val="00923AD8"/>
    <w:rsid w:val="00924F9C"/>
    <w:rsid w:val="00930094"/>
    <w:rsid w:val="00936970"/>
    <w:rsid w:val="00941514"/>
    <w:rsid w:val="00945B93"/>
    <w:rsid w:val="00957159"/>
    <w:rsid w:val="00960FF0"/>
    <w:rsid w:val="00962B65"/>
    <w:rsid w:val="0097263B"/>
    <w:rsid w:val="0098248F"/>
    <w:rsid w:val="00985EF6"/>
    <w:rsid w:val="00993256"/>
    <w:rsid w:val="009A2566"/>
    <w:rsid w:val="009B395F"/>
    <w:rsid w:val="009C3146"/>
    <w:rsid w:val="009C6190"/>
    <w:rsid w:val="009D1A12"/>
    <w:rsid w:val="00A0023A"/>
    <w:rsid w:val="00A00C70"/>
    <w:rsid w:val="00A0276C"/>
    <w:rsid w:val="00A16E21"/>
    <w:rsid w:val="00A173E7"/>
    <w:rsid w:val="00A27162"/>
    <w:rsid w:val="00A50D61"/>
    <w:rsid w:val="00A72EDC"/>
    <w:rsid w:val="00A7358C"/>
    <w:rsid w:val="00A83DCE"/>
    <w:rsid w:val="00A939C0"/>
    <w:rsid w:val="00A959B5"/>
    <w:rsid w:val="00AA65BF"/>
    <w:rsid w:val="00AA78D0"/>
    <w:rsid w:val="00AB2A2F"/>
    <w:rsid w:val="00AC5A0A"/>
    <w:rsid w:val="00AE4FFE"/>
    <w:rsid w:val="00AE5DAE"/>
    <w:rsid w:val="00AE7E9B"/>
    <w:rsid w:val="00AF1798"/>
    <w:rsid w:val="00AF2CA9"/>
    <w:rsid w:val="00B04156"/>
    <w:rsid w:val="00B1054D"/>
    <w:rsid w:val="00B14A7C"/>
    <w:rsid w:val="00B22C21"/>
    <w:rsid w:val="00B32FD9"/>
    <w:rsid w:val="00B51D01"/>
    <w:rsid w:val="00B75A45"/>
    <w:rsid w:val="00B81C03"/>
    <w:rsid w:val="00B832E1"/>
    <w:rsid w:val="00B8640A"/>
    <w:rsid w:val="00B87F9F"/>
    <w:rsid w:val="00B91ED8"/>
    <w:rsid w:val="00B97EDB"/>
    <w:rsid w:val="00BB1E52"/>
    <w:rsid w:val="00BC0AEE"/>
    <w:rsid w:val="00BC3C12"/>
    <w:rsid w:val="00BD76CE"/>
    <w:rsid w:val="00BE03A2"/>
    <w:rsid w:val="00BE1257"/>
    <w:rsid w:val="00BE14DC"/>
    <w:rsid w:val="00BE1BD9"/>
    <w:rsid w:val="00BE4FDF"/>
    <w:rsid w:val="00C00211"/>
    <w:rsid w:val="00C012F4"/>
    <w:rsid w:val="00C0561C"/>
    <w:rsid w:val="00C12F75"/>
    <w:rsid w:val="00C143E6"/>
    <w:rsid w:val="00C36296"/>
    <w:rsid w:val="00C40B1C"/>
    <w:rsid w:val="00C44672"/>
    <w:rsid w:val="00C507F7"/>
    <w:rsid w:val="00C51C56"/>
    <w:rsid w:val="00C610A4"/>
    <w:rsid w:val="00C62D99"/>
    <w:rsid w:val="00C706B1"/>
    <w:rsid w:val="00C715E2"/>
    <w:rsid w:val="00C7167B"/>
    <w:rsid w:val="00C742E2"/>
    <w:rsid w:val="00C7594C"/>
    <w:rsid w:val="00C85B1D"/>
    <w:rsid w:val="00C86D1C"/>
    <w:rsid w:val="00C9283C"/>
    <w:rsid w:val="00C934B6"/>
    <w:rsid w:val="00CA0B27"/>
    <w:rsid w:val="00CA4851"/>
    <w:rsid w:val="00CA5A7B"/>
    <w:rsid w:val="00CB4039"/>
    <w:rsid w:val="00CC00A1"/>
    <w:rsid w:val="00CC43F4"/>
    <w:rsid w:val="00CD6529"/>
    <w:rsid w:val="00CE6CF9"/>
    <w:rsid w:val="00CF32AF"/>
    <w:rsid w:val="00D063C8"/>
    <w:rsid w:val="00D130B4"/>
    <w:rsid w:val="00D235C1"/>
    <w:rsid w:val="00D24A15"/>
    <w:rsid w:val="00D307C6"/>
    <w:rsid w:val="00D3594C"/>
    <w:rsid w:val="00D43D76"/>
    <w:rsid w:val="00D506F6"/>
    <w:rsid w:val="00D5786A"/>
    <w:rsid w:val="00D6395C"/>
    <w:rsid w:val="00D65104"/>
    <w:rsid w:val="00D658EA"/>
    <w:rsid w:val="00D66E12"/>
    <w:rsid w:val="00D67281"/>
    <w:rsid w:val="00D73071"/>
    <w:rsid w:val="00D77CEB"/>
    <w:rsid w:val="00D90363"/>
    <w:rsid w:val="00D904E8"/>
    <w:rsid w:val="00DA5303"/>
    <w:rsid w:val="00DB532D"/>
    <w:rsid w:val="00DC0728"/>
    <w:rsid w:val="00DC09F0"/>
    <w:rsid w:val="00DC4752"/>
    <w:rsid w:val="00DD05CB"/>
    <w:rsid w:val="00DD3E58"/>
    <w:rsid w:val="00DD613F"/>
    <w:rsid w:val="00DE3929"/>
    <w:rsid w:val="00DF3138"/>
    <w:rsid w:val="00E009F3"/>
    <w:rsid w:val="00E0355C"/>
    <w:rsid w:val="00E10B22"/>
    <w:rsid w:val="00E149AA"/>
    <w:rsid w:val="00E33E0E"/>
    <w:rsid w:val="00E35F7A"/>
    <w:rsid w:val="00E44220"/>
    <w:rsid w:val="00E51014"/>
    <w:rsid w:val="00E538B0"/>
    <w:rsid w:val="00E53D30"/>
    <w:rsid w:val="00E64ED8"/>
    <w:rsid w:val="00E6529A"/>
    <w:rsid w:val="00E74DE6"/>
    <w:rsid w:val="00E77810"/>
    <w:rsid w:val="00E826C6"/>
    <w:rsid w:val="00E82B78"/>
    <w:rsid w:val="00E95805"/>
    <w:rsid w:val="00EB3372"/>
    <w:rsid w:val="00EE03DB"/>
    <w:rsid w:val="00EE09F3"/>
    <w:rsid w:val="00EE5938"/>
    <w:rsid w:val="00EE774D"/>
    <w:rsid w:val="00EF24B0"/>
    <w:rsid w:val="00F00B10"/>
    <w:rsid w:val="00F03759"/>
    <w:rsid w:val="00F1742B"/>
    <w:rsid w:val="00F216E1"/>
    <w:rsid w:val="00F22156"/>
    <w:rsid w:val="00F263F2"/>
    <w:rsid w:val="00F27415"/>
    <w:rsid w:val="00F52D9E"/>
    <w:rsid w:val="00F53615"/>
    <w:rsid w:val="00F6775F"/>
    <w:rsid w:val="00F67952"/>
    <w:rsid w:val="00F70940"/>
    <w:rsid w:val="00F75BC3"/>
    <w:rsid w:val="00F83CAE"/>
    <w:rsid w:val="00F90833"/>
    <w:rsid w:val="00FB1BE7"/>
    <w:rsid w:val="00FB2F28"/>
    <w:rsid w:val="00FB7A36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263</cp:revision>
  <cp:lastPrinted>2014-04-14T11:19:00Z</cp:lastPrinted>
  <dcterms:created xsi:type="dcterms:W3CDTF">2013-01-21T06:04:00Z</dcterms:created>
  <dcterms:modified xsi:type="dcterms:W3CDTF">2014-07-11T05:43:00Z</dcterms:modified>
</cp:coreProperties>
</file>